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FB" w:rsidRPr="000E2C29" w:rsidRDefault="002110FB" w:rsidP="002110FB">
      <w:pPr>
        <w:widowControl w:val="0"/>
        <w:suppressAutoHyphens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6AD3E7F4" wp14:editId="5E766C2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0FB" w:rsidRPr="000E2C29" w:rsidRDefault="002110FB" w:rsidP="002110FB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eastAsia="Times New Roman" w:cs="Times New Roman"/>
          <w:szCs w:val="20"/>
          <w:lang w:eastAsia="ru-RU"/>
        </w:rPr>
      </w:pPr>
      <w:r w:rsidRPr="000E2C29">
        <w:rPr>
          <w:rFonts w:eastAsia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/>
        <w:ind w:hanging="284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(ДГТУ)</w:t>
      </w:r>
    </w:p>
    <w:p w:rsidR="002110FB" w:rsidRPr="000E2C29" w:rsidRDefault="002110FB" w:rsidP="002110FB">
      <w:pPr>
        <w:spacing w:after="0" w:line="360" w:lineRule="auto"/>
        <w:jc w:val="center"/>
        <w:rPr>
          <w:rFonts w:eastAsia="Times New Roman" w:cs="Times New Roman"/>
          <w:caps/>
          <w:szCs w:val="28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caps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Кафедра </w:t>
      </w:r>
      <w:r w:rsidRPr="000E2C29">
        <w:rPr>
          <w:rFonts w:eastAsia="Times New Roman" w:cs="Times New Roman"/>
          <w:caps/>
          <w:szCs w:val="28"/>
          <w:lang w:eastAsia="ru-RU"/>
        </w:rPr>
        <w:t xml:space="preserve">«Цифровые технологии и платформы </w:t>
      </w:r>
      <w:r>
        <w:rPr>
          <w:rFonts w:eastAsia="Times New Roman" w:cs="Times New Roman"/>
          <w:caps/>
          <w:szCs w:val="28"/>
          <w:lang w:eastAsia="ru-RU"/>
        </w:rPr>
        <w:br/>
      </w:r>
      <w:r w:rsidRPr="000E2C29">
        <w:rPr>
          <w:rFonts w:eastAsia="Times New Roman" w:cs="Times New Roman"/>
          <w:caps/>
          <w:szCs w:val="28"/>
          <w:lang w:eastAsia="ru-RU"/>
        </w:rPr>
        <w:t>в электроэнергетике»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keepNext/>
        <w:spacing w:after="0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2110FB" w:rsidRPr="000E2C29" w:rsidRDefault="002110FB" w:rsidP="002110FB">
      <w:pPr>
        <w:keepNext/>
        <w:spacing w:after="0" w:line="36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0E2C29">
        <w:rPr>
          <w:rFonts w:eastAsia="Times New Roman" w:cs="Times New Roman"/>
          <w:b/>
          <w:bCs/>
          <w:sz w:val="40"/>
          <w:szCs w:val="40"/>
          <w:lang w:eastAsia="ru-RU"/>
        </w:rPr>
        <w:t>Методические указания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к практическим занятиям по дисциплине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b/>
          <w:szCs w:val="24"/>
          <w:lang w:eastAsia="ru-RU"/>
        </w:rPr>
        <w:t>«</w:t>
      </w:r>
      <w:r>
        <w:rPr>
          <w:rFonts w:eastAsia="Times New Roman" w:cs="Times New Roman"/>
          <w:b/>
          <w:szCs w:val="24"/>
          <w:lang w:eastAsia="ru-RU"/>
        </w:rPr>
        <w:t>ТЕХНИКА ВЫСОКИХ НАПРЯЖЕНИЙ</w:t>
      </w:r>
      <w:r w:rsidRPr="000E2C29">
        <w:rPr>
          <w:rFonts w:eastAsia="Times New Roman" w:cs="Times New Roman"/>
          <w:b/>
          <w:szCs w:val="24"/>
          <w:lang w:eastAsia="ru-RU"/>
        </w:rPr>
        <w:t>»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>
        <w:t>ЗАДАНИЯ НА ВЫПОЛНЕНИЕ КОНТРОЛЬНОЙ РАБОТЫ</w:t>
      </w: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Ростов-на-Дону</w:t>
      </w:r>
    </w:p>
    <w:p w:rsidR="002110FB" w:rsidRPr="000E2C29" w:rsidRDefault="002110FB" w:rsidP="002110FB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2023</w:t>
      </w:r>
    </w:p>
    <w:p w:rsidR="002110FB" w:rsidRPr="000E2C29" w:rsidRDefault="002110FB" w:rsidP="002110FB">
      <w:pPr>
        <w:spacing w:line="259" w:lineRule="auto"/>
        <w:rPr>
          <w:rFonts w:ascii="Calibri" w:eastAsia="Times New Roman" w:hAnsi="Calibri" w:cs="Times New Roman"/>
          <w:sz w:val="22"/>
          <w:lang w:eastAsia="ru-RU"/>
        </w:rPr>
      </w:pPr>
      <w:r w:rsidRPr="000E2C29">
        <w:rPr>
          <w:rFonts w:ascii="Calibri" w:eastAsia="Times New Roman" w:hAnsi="Calibri" w:cs="Times New Roman"/>
          <w:sz w:val="22"/>
          <w:lang w:eastAsia="ru-RU"/>
        </w:rPr>
        <w:br w:type="page"/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2110FB">
        <w:rPr>
          <w:rFonts w:eastAsia="Calibri" w:cs="Times New Roman"/>
          <w:szCs w:val="28"/>
        </w:rPr>
        <w:lastRenderedPageBreak/>
        <w:t>УДК 621.3.027.3(07)</w:t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Составитель(и) Синегубов А.П.</w:t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360" w:lineRule="auto"/>
        <w:ind w:left="1134" w:firstLine="709"/>
        <w:jc w:val="both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Методические указания к практическим занятиям по 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Pr="002110FB">
        <w:rPr>
          <w:rFonts w:eastAsia="Times New Roman" w:cs="Times New Roman"/>
          <w:szCs w:val="28"/>
          <w:lang w:eastAsia="ru-RU"/>
        </w:rPr>
        <w:t>Техника</w:t>
      </w:r>
      <w:r w:rsidRPr="002110FB">
        <w:rPr>
          <w:rFonts w:eastAsia="Times New Roman" w:cs="Times New Roman"/>
          <w:b/>
          <w:szCs w:val="28"/>
          <w:lang w:eastAsia="ru-RU"/>
        </w:rPr>
        <w:t xml:space="preserve"> </w:t>
      </w:r>
      <w:r w:rsidRPr="002110FB">
        <w:rPr>
          <w:rFonts w:eastAsia="Times New Roman" w:cs="Times New Roman"/>
          <w:szCs w:val="28"/>
          <w:lang w:eastAsia="ru-RU"/>
        </w:rPr>
        <w:t>высоких напряжений».</w:t>
      </w:r>
      <w:r w:rsidRPr="00866F9E">
        <w:rPr>
          <w:rFonts w:eastAsia="Times New Roman" w:cs="Times New Roman"/>
          <w:szCs w:val="28"/>
          <w:lang w:eastAsia="ru-RU"/>
        </w:rPr>
        <w:t xml:space="preserve"> Задания на выполнение контрольной работы</w:t>
      </w:r>
      <w:r w:rsidRPr="000E2C29">
        <w:rPr>
          <w:rFonts w:eastAsia="Times New Roman" w:cs="Times New Roman"/>
          <w:szCs w:val="28"/>
          <w:lang w:eastAsia="ru-RU"/>
        </w:rPr>
        <w:t>/ сост. Синегубов А.П. – Ростов-на-Дону: Донской государственный технический университет, 2023. –</w:t>
      </w:r>
      <w:r w:rsidR="00F53B9E" w:rsidRPr="00F53B9E">
        <w:rPr>
          <w:rFonts w:eastAsia="Times New Roman" w:cs="Times New Roman"/>
          <w:szCs w:val="28"/>
          <w:lang w:eastAsia="ru-RU"/>
        </w:rPr>
        <w:t>10</w:t>
      </w:r>
      <w:r w:rsidRPr="00F4472A">
        <w:rPr>
          <w:rFonts w:eastAsia="Times New Roman" w:cs="Times New Roman"/>
          <w:szCs w:val="28"/>
          <w:lang w:eastAsia="ru-RU"/>
        </w:rPr>
        <w:t xml:space="preserve"> </w:t>
      </w:r>
      <w:r w:rsidRPr="000E2C29">
        <w:rPr>
          <w:rFonts w:eastAsia="Times New Roman" w:cs="Times New Roman"/>
          <w:szCs w:val="28"/>
          <w:lang w:eastAsia="ru-RU"/>
        </w:rPr>
        <w:t>с.</w:t>
      </w:r>
    </w:p>
    <w:p w:rsidR="002110FB" w:rsidRPr="000E2C29" w:rsidRDefault="002110FB" w:rsidP="002110FB">
      <w:pPr>
        <w:spacing w:after="0" w:line="360" w:lineRule="auto"/>
        <w:ind w:left="1134" w:firstLine="850"/>
        <w:jc w:val="both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Приведены </w:t>
      </w:r>
      <w:r w:rsidRPr="007D49CB">
        <w:rPr>
          <w:rFonts w:eastAsia="Times New Roman" w:cs="Times New Roman"/>
          <w:szCs w:val="28"/>
          <w:lang w:eastAsia="ru-RU"/>
        </w:rPr>
        <w:t xml:space="preserve">задания </w:t>
      </w:r>
      <w:r>
        <w:rPr>
          <w:rFonts w:eastAsia="Times New Roman" w:cs="Times New Roman"/>
          <w:szCs w:val="28"/>
          <w:lang w:eastAsia="ru-RU"/>
        </w:rPr>
        <w:t xml:space="preserve">на контрольную работу по </w:t>
      </w:r>
      <w:r w:rsidRPr="000E2C29">
        <w:rPr>
          <w:rFonts w:eastAsia="Times New Roman" w:cs="Times New Roman"/>
          <w:szCs w:val="28"/>
          <w:lang w:eastAsia="ru-RU"/>
        </w:rPr>
        <w:t xml:space="preserve">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Pr="002110FB">
        <w:rPr>
          <w:rFonts w:eastAsia="Times New Roman" w:cs="Times New Roman"/>
          <w:szCs w:val="28"/>
          <w:lang w:eastAsia="ru-RU"/>
        </w:rPr>
        <w:t>Техника</w:t>
      </w:r>
      <w:r w:rsidRPr="002110FB">
        <w:rPr>
          <w:rFonts w:eastAsia="Times New Roman" w:cs="Times New Roman"/>
          <w:b/>
          <w:szCs w:val="28"/>
          <w:lang w:eastAsia="ru-RU"/>
        </w:rPr>
        <w:t xml:space="preserve"> </w:t>
      </w:r>
      <w:r w:rsidRPr="002110FB">
        <w:rPr>
          <w:rFonts w:eastAsia="Times New Roman" w:cs="Times New Roman"/>
          <w:szCs w:val="28"/>
          <w:lang w:eastAsia="ru-RU"/>
        </w:rPr>
        <w:t>высоких напряжений</w:t>
      </w:r>
      <w:r w:rsidRPr="007D49CB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 xml:space="preserve"> и</w:t>
      </w:r>
      <w:r w:rsidRPr="007D49CB">
        <w:rPr>
          <w:rFonts w:eastAsia="Times New Roman" w:cs="Times New Roman"/>
          <w:szCs w:val="28"/>
          <w:lang w:eastAsia="ru-RU"/>
        </w:rPr>
        <w:t xml:space="preserve"> методические</w:t>
      </w:r>
      <w:r>
        <w:rPr>
          <w:rFonts w:eastAsia="Times New Roman" w:cs="Times New Roman"/>
          <w:szCs w:val="28"/>
          <w:lang w:eastAsia="ru-RU"/>
        </w:rPr>
        <w:t xml:space="preserve"> указания по её выполнению</w:t>
      </w:r>
      <w:r w:rsidRPr="007D49CB">
        <w:rPr>
          <w:rFonts w:eastAsia="Times New Roman" w:cs="Times New Roman"/>
          <w:szCs w:val="28"/>
          <w:lang w:eastAsia="ru-RU"/>
        </w:rPr>
        <w:t>.</w:t>
      </w:r>
      <w:r w:rsidRPr="000E2C2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Каждое задание включает</w:t>
      </w:r>
      <w:r w:rsidRPr="002110FB">
        <w:rPr>
          <w:rFonts w:eastAsia="Times New Roman" w:cs="Times New Roman"/>
          <w:szCs w:val="28"/>
          <w:lang w:eastAsia="ru-RU"/>
        </w:rPr>
        <w:t xml:space="preserve"> две задачи и один теоретический вопрос</w:t>
      </w:r>
      <w:r w:rsidRPr="00297EB4">
        <w:rPr>
          <w:rFonts w:eastAsia="Times New Roman" w:cs="Times New Roman"/>
          <w:szCs w:val="28"/>
          <w:lang w:eastAsia="ru-RU"/>
        </w:rPr>
        <w:t>.</w:t>
      </w:r>
    </w:p>
    <w:p w:rsidR="002110FB" w:rsidRPr="000E2C29" w:rsidRDefault="002110FB" w:rsidP="002110FB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Предназначены для обучающихся заочной форм</w:t>
      </w:r>
      <w:r>
        <w:rPr>
          <w:rFonts w:eastAsia="Times New Roman" w:cs="Times New Roman"/>
          <w:szCs w:val="28"/>
          <w:lang w:eastAsia="ru-RU"/>
        </w:rPr>
        <w:t>ы</w:t>
      </w:r>
      <w:r w:rsidRPr="000E2C29">
        <w:rPr>
          <w:rFonts w:eastAsia="Times New Roman" w:cs="Times New Roman"/>
          <w:szCs w:val="28"/>
          <w:lang w:eastAsia="ru-RU"/>
        </w:rPr>
        <w:t xml:space="preserve"> обучения по направлению подготовки 13.03.02</w:t>
      </w:r>
      <w:r w:rsidRPr="000E2C29">
        <w:rPr>
          <w:rFonts w:eastAsia="Times New Roman" w:cs="Times New Roman"/>
          <w:b/>
          <w:szCs w:val="28"/>
          <w:lang w:eastAsia="ru-RU"/>
        </w:rPr>
        <w:t xml:space="preserve"> «</w:t>
      </w:r>
      <w:r w:rsidRPr="000E2C29">
        <w:rPr>
          <w:rFonts w:eastAsia="Times New Roman" w:cs="Times New Roman"/>
          <w:szCs w:val="28"/>
          <w:lang w:eastAsia="ru-RU"/>
        </w:rPr>
        <w:t>Электроэнергетика и электротехника».</w:t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Ответственный за выпуск зав. кафедрой «ЦТ и П» к.т.н., доцент Юров А.А.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 w:rsidRPr="000E2C29">
        <w:rPr>
          <w:rFonts w:eastAsia="Times New Roman" w:cs="Times New Roman"/>
          <w:sz w:val="24"/>
          <w:szCs w:val="24"/>
          <w:vertAlign w:val="superscript"/>
          <w:lang w:eastAsia="ru-RU"/>
        </w:rPr>
        <w:t>(ученая степень, ученое звание и ФИО руководителя структурного подразделения, ответственного за реализацию ОПОП)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В печать _________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Формат 60×84/16. Объем _______ </w:t>
      </w:r>
      <w:proofErr w:type="spellStart"/>
      <w:r w:rsidRPr="000E2C29">
        <w:rPr>
          <w:rFonts w:eastAsia="Times New Roman" w:cs="Times New Roman"/>
          <w:szCs w:val="28"/>
          <w:lang w:eastAsia="ru-RU"/>
        </w:rPr>
        <w:t>усл</w:t>
      </w:r>
      <w:proofErr w:type="spellEnd"/>
      <w:r w:rsidRPr="000E2C29">
        <w:rPr>
          <w:rFonts w:eastAsia="Times New Roman" w:cs="Times New Roman"/>
          <w:szCs w:val="28"/>
          <w:lang w:eastAsia="ru-RU"/>
        </w:rPr>
        <w:t>. п. л.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Тираж 50 экз. Заказ № ____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Издательский центр ДГТУ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Адрес университета и полиграфического предприятия: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344000, г. Ростов-на-Дону, пл. Гагарина, 1</w:t>
      </w:r>
    </w:p>
    <w:p w:rsidR="002110FB" w:rsidRPr="000E2C29" w:rsidRDefault="002110FB" w:rsidP="002110FB">
      <w:pPr>
        <w:spacing w:after="0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276" w:lineRule="auto"/>
        <w:ind w:left="560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Донской государственный</w:t>
      </w:r>
    </w:p>
    <w:p w:rsidR="002110FB" w:rsidRPr="000E2C29" w:rsidRDefault="002110FB" w:rsidP="002110FB">
      <w:pPr>
        <w:spacing w:after="0" w:line="276" w:lineRule="auto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технический университет, 2023</w:t>
      </w:r>
    </w:p>
    <w:p w:rsidR="002110FB" w:rsidRDefault="002110FB" w:rsidP="002110FB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Синегубов А.П.</w:t>
      </w:r>
    </w:p>
    <w:p w:rsidR="002110FB" w:rsidRPr="0078386E" w:rsidRDefault="002110FB" w:rsidP="00367816">
      <w:pPr>
        <w:pageBreakBefore/>
        <w:spacing w:after="0" w:line="276" w:lineRule="auto"/>
        <w:jc w:val="center"/>
        <w:rPr>
          <w:rFonts w:eastAsia="Calibri" w:cs="Times New Roman"/>
          <w:b/>
          <w:szCs w:val="28"/>
        </w:rPr>
      </w:pPr>
      <w:r w:rsidRPr="008033D5">
        <w:rPr>
          <w:rFonts w:eastAsia="Calibri" w:cs="Times New Roman"/>
          <w:b/>
          <w:szCs w:val="28"/>
        </w:rPr>
        <w:lastRenderedPageBreak/>
        <w:t>СОДЕРЖАНИЕ</w:t>
      </w:r>
      <w:bookmarkStart w:id="0" w:name="_GoBack"/>
      <w:bookmarkEnd w:id="0"/>
    </w:p>
    <w:p w:rsidR="002110FB" w:rsidRPr="008033D5" w:rsidRDefault="002110FB" w:rsidP="00367816">
      <w:pPr>
        <w:spacing w:after="0" w:line="276" w:lineRule="auto"/>
        <w:jc w:val="center"/>
        <w:rPr>
          <w:rFonts w:eastAsia="Calibri" w:cs="Times New Roman"/>
          <w:b/>
          <w:szCs w:val="28"/>
        </w:rPr>
      </w:pPr>
    </w:p>
    <w:tbl>
      <w:tblPr>
        <w:tblW w:w="0" w:type="auto"/>
        <w:tblInd w:w="1101" w:type="dxa"/>
        <w:tblLook w:val="04A0" w:firstRow="1" w:lastRow="0" w:firstColumn="1" w:lastColumn="0" w:noHBand="0" w:noVBand="1"/>
      </w:tblPr>
      <w:tblGrid>
        <w:gridCol w:w="546"/>
        <w:gridCol w:w="694"/>
        <w:gridCol w:w="6610"/>
        <w:gridCol w:w="687"/>
      </w:tblGrid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8033D5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eastAsia="Calibri" w:cs="Times New Roman"/>
                <w:szCs w:val="28"/>
              </w:rPr>
              <w:t>Задание на контрольную работу</w:t>
            </w: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eastAsia="Calibri" w:cs="Times New Roman"/>
                <w:szCs w:val="28"/>
              </w:rPr>
              <w:t>4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color w:val="000000"/>
                <w:szCs w:val="28"/>
              </w:rPr>
              <w:t xml:space="preserve">1.1 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color w:val="000000"/>
                <w:szCs w:val="28"/>
              </w:rPr>
              <w:t>Задача 1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F1F35">
              <w:rPr>
                <w:rFonts w:eastAsia="Calibri" w:cs="Times New Roman"/>
                <w:szCs w:val="28"/>
              </w:rPr>
              <w:t>4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eastAsia="Calibri" w:cs="Times New Roman"/>
                <w:szCs w:val="28"/>
              </w:rPr>
              <w:t>1.2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color w:val="000000"/>
                <w:szCs w:val="28"/>
              </w:rPr>
              <w:t>Задача 2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F1F35">
              <w:rPr>
                <w:rFonts w:eastAsia="Calibri" w:cs="Times New Roman"/>
                <w:szCs w:val="28"/>
              </w:rPr>
              <w:t>4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1.3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0075B4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 xml:space="preserve">Вопросы 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F1F35">
              <w:rPr>
                <w:rFonts w:eastAsia="Calibri" w:cs="Times New Roman"/>
                <w:szCs w:val="28"/>
              </w:rPr>
              <w:t>5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8033D5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Методические указания по решению задач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2.1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Задача 1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2.2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Задача 2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8033D5">
              <w:rPr>
                <w:rFonts w:eastAsia="Times New Roman" w:cs="Times New Roman"/>
                <w:bCs/>
                <w:szCs w:val="28"/>
              </w:rPr>
              <w:t>ЛИТЕРАТУРА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</w:tr>
    </w:tbl>
    <w:p w:rsidR="00F12C76" w:rsidRDefault="00F12C76" w:rsidP="00367816">
      <w:pPr>
        <w:spacing w:after="0" w:line="276" w:lineRule="auto"/>
        <w:ind w:firstLine="709"/>
        <w:jc w:val="both"/>
      </w:pPr>
    </w:p>
    <w:p w:rsidR="00367816" w:rsidRPr="0078386E" w:rsidRDefault="00367816" w:rsidP="00367816">
      <w:pPr>
        <w:pageBreakBefore/>
        <w:spacing w:after="0" w:line="276" w:lineRule="auto"/>
        <w:jc w:val="center"/>
        <w:rPr>
          <w:rFonts w:cs="Times New Roman"/>
          <w:b/>
          <w:szCs w:val="28"/>
        </w:rPr>
      </w:pPr>
      <w:r w:rsidRPr="0078386E">
        <w:rPr>
          <w:rFonts w:cs="Times New Roman"/>
          <w:b/>
          <w:szCs w:val="28"/>
        </w:rPr>
        <w:lastRenderedPageBreak/>
        <w:t>1</w:t>
      </w:r>
      <w:r>
        <w:rPr>
          <w:rFonts w:cs="Times New Roman"/>
          <w:b/>
          <w:szCs w:val="28"/>
        </w:rPr>
        <w:t>.</w:t>
      </w:r>
      <w:r w:rsidRPr="0078386E">
        <w:rPr>
          <w:rFonts w:cs="Times New Roman"/>
          <w:b/>
          <w:szCs w:val="28"/>
        </w:rPr>
        <w:t xml:space="preserve"> Задание на контрольную работу</w:t>
      </w:r>
    </w:p>
    <w:p w:rsidR="00367816" w:rsidRPr="0078386E" w:rsidRDefault="00367816" w:rsidP="00367816">
      <w:pPr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szCs w:val="28"/>
        </w:rPr>
        <w:t>В процессе изучения дисциплины «</w:t>
      </w:r>
      <w:r>
        <w:rPr>
          <w:rFonts w:cs="Times New Roman"/>
          <w:szCs w:val="28"/>
        </w:rPr>
        <w:t>Техника высоких напряжений</w:t>
      </w:r>
      <w:r w:rsidRPr="0078386E">
        <w:rPr>
          <w:rFonts w:cs="Times New Roman"/>
          <w:szCs w:val="28"/>
        </w:rPr>
        <w:t xml:space="preserve">» обучающиеся </w:t>
      </w:r>
      <w:r>
        <w:rPr>
          <w:rFonts w:cs="Times New Roman"/>
          <w:szCs w:val="28"/>
        </w:rPr>
        <w:t>должны выполнить одну контрольную работу, включающую</w:t>
      </w:r>
      <w:r w:rsidRPr="0078386E">
        <w:rPr>
          <w:rFonts w:cs="Times New Roman"/>
          <w:szCs w:val="28"/>
        </w:rPr>
        <w:t xml:space="preserve"> две задачи и один теоретический вопрос. Варианты исходных данных задач определяю</w:t>
      </w:r>
      <w:r>
        <w:rPr>
          <w:rFonts w:cs="Times New Roman"/>
          <w:szCs w:val="28"/>
        </w:rPr>
        <w:t xml:space="preserve">тся по </w:t>
      </w:r>
      <w:r w:rsidRPr="0078386E">
        <w:rPr>
          <w:rFonts w:cs="Times New Roman"/>
          <w:szCs w:val="28"/>
        </w:rPr>
        <w:t>последней цифре номера зачётной книжки, номер контрольного вопроса</w:t>
      </w:r>
      <w:r>
        <w:rPr>
          <w:rFonts w:cs="Times New Roman"/>
          <w:szCs w:val="28"/>
        </w:rPr>
        <w:t xml:space="preserve"> определяется суммой последней и предпоследней цифр </w:t>
      </w:r>
      <w:r w:rsidRPr="0078386E">
        <w:rPr>
          <w:rFonts w:cs="Times New Roman"/>
          <w:szCs w:val="28"/>
        </w:rPr>
        <w:t>номера зачётной книжки.</w:t>
      </w:r>
      <w:r w:rsidRPr="0078386E">
        <w:rPr>
          <w:rFonts w:cs="Times New Roman"/>
          <w:szCs w:val="28"/>
        </w:rPr>
        <w:cr/>
      </w:r>
    </w:p>
    <w:p w:rsidR="00367816" w:rsidRPr="000075B4" w:rsidRDefault="00367816" w:rsidP="00367816">
      <w:pPr>
        <w:spacing w:after="0" w:line="276" w:lineRule="auto"/>
        <w:jc w:val="center"/>
        <w:rPr>
          <w:rFonts w:cs="Times New Roman"/>
          <w:color w:val="000000"/>
          <w:szCs w:val="28"/>
        </w:rPr>
      </w:pPr>
      <w:r w:rsidRPr="000075B4">
        <w:rPr>
          <w:rFonts w:cs="Times New Roman"/>
          <w:color w:val="000000"/>
          <w:szCs w:val="28"/>
        </w:rPr>
        <w:t xml:space="preserve">1.1 Задача 1 </w:t>
      </w:r>
    </w:p>
    <w:p w:rsidR="00367816" w:rsidRPr="0078386E" w:rsidRDefault="00367816" w:rsidP="00367816">
      <w:pPr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>Определить число изоляторов в поддерживающей гирлянде промежуточной опоры</w:t>
      </w:r>
      <w:r>
        <w:rPr>
          <w:rFonts w:cs="Times New Roman"/>
          <w:color w:val="000000"/>
          <w:szCs w:val="28"/>
        </w:rPr>
        <w:t xml:space="preserve"> по удельной эффективной длине пути </w:t>
      </w:r>
      <w:r w:rsidRPr="0078386E">
        <w:rPr>
          <w:rFonts w:cs="Times New Roman"/>
          <w:color w:val="000000"/>
          <w:szCs w:val="28"/>
        </w:rPr>
        <w:t>утечки. ЛЭП проходит на высоте менее 1000м над уровнем моря, остальные необходимые данные и варианты заданий приведены в табл.1. Литература: [3, гл. 1-9; 1, с.172-175, 394-395; 5, с. 95-98, 100-101].</w:t>
      </w:r>
    </w:p>
    <w:p w:rsidR="00367816" w:rsidRPr="00B22C7F" w:rsidRDefault="00367816" w:rsidP="00865C55">
      <w:pPr>
        <w:spacing w:after="0" w:line="276" w:lineRule="auto"/>
        <w:jc w:val="right"/>
        <w:rPr>
          <w:rFonts w:cs="Times New Roman"/>
          <w:szCs w:val="28"/>
        </w:rPr>
      </w:pPr>
      <w:r w:rsidRPr="00B22C7F">
        <w:rPr>
          <w:rFonts w:cs="Times New Roman"/>
          <w:szCs w:val="28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1257"/>
        <w:gridCol w:w="992"/>
        <w:gridCol w:w="1277"/>
        <w:gridCol w:w="1417"/>
        <w:gridCol w:w="1134"/>
        <w:gridCol w:w="1419"/>
        <w:gridCol w:w="984"/>
      </w:tblGrid>
      <w:tr w:rsidR="00865C55" w:rsidRPr="0078386E" w:rsidTr="00865C55">
        <w:trPr>
          <w:jc w:val="center"/>
        </w:trPr>
        <w:tc>
          <w:tcPr>
            <w:tcW w:w="59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Вариант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Номинальное напряжение линии, кВ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Тип опоры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Степень загряз</w:t>
            </w:r>
            <w:r w:rsidRPr="0078386E">
              <w:rPr>
                <w:rFonts w:cs="Times New Roman"/>
                <w:sz w:val="24"/>
                <w:szCs w:val="24"/>
              </w:rPr>
              <w:t>нения атмосферы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Тип изолятора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Диаметр тарелки D, мм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Строи</w:t>
            </w:r>
            <w:r w:rsidRPr="0078386E">
              <w:rPr>
                <w:rFonts w:eastAsia="Times New Roman" w:cs="Times New Roman"/>
                <w:sz w:val="24"/>
                <w:szCs w:val="24"/>
              </w:rPr>
              <w:t>тельная высота H, мм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 xml:space="preserve">Длина пути утечки </w:t>
            </w:r>
            <w:r w:rsidRPr="0078386E">
              <w:rPr>
                <w:rFonts w:eastAsia="Times New Roman" w:cs="Times New Roman"/>
                <w:i/>
                <w:sz w:val="24"/>
                <w:szCs w:val="24"/>
              </w:rPr>
              <w:t>L</w:t>
            </w:r>
            <w:r w:rsidRPr="0078386E">
              <w:rPr>
                <w:rFonts w:eastAsia="Times New Roman" w:cs="Times New Roman"/>
                <w:i/>
                <w:sz w:val="24"/>
                <w:szCs w:val="24"/>
                <w:vertAlign w:val="subscript"/>
              </w:rPr>
              <w:t>И</w:t>
            </w:r>
            <w:r w:rsidRPr="0078386E">
              <w:rPr>
                <w:rFonts w:eastAsia="Times New Roman" w:cs="Times New Roman"/>
                <w:sz w:val="24"/>
                <w:szCs w:val="24"/>
              </w:rPr>
              <w:t>, мм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70Е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127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303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120 Б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320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330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160 Д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210 В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300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195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750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300 В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195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390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70Е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303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70Е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320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330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120 Б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160 Д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750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160 Д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390</w:t>
            </w:r>
          </w:p>
        </w:tc>
      </w:tr>
    </w:tbl>
    <w:p w:rsidR="00865C55" w:rsidRDefault="00865C55" w:rsidP="00865C55">
      <w:pPr>
        <w:spacing w:after="0"/>
        <w:jc w:val="center"/>
        <w:rPr>
          <w:rFonts w:cs="Times New Roman"/>
          <w:color w:val="000000"/>
          <w:szCs w:val="28"/>
        </w:rPr>
      </w:pPr>
    </w:p>
    <w:p w:rsidR="00865C55" w:rsidRPr="000075B4" w:rsidRDefault="00865C55" w:rsidP="00865C55">
      <w:pPr>
        <w:spacing w:after="0" w:line="276" w:lineRule="auto"/>
        <w:jc w:val="center"/>
        <w:rPr>
          <w:rFonts w:cs="Times New Roman"/>
          <w:color w:val="000000"/>
          <w:szCs w:val="28"/>
        </w:rPr>
      </w:pPr>
      <w:r w:rsidRPr="000075B4">
        <w:rPr>
          <w:rFonts w:cs="Times New Roman"/>
          <w:color w:val="000000"/>
          <w:szCs w:val="28"/>
        </w:rPr>
        <w:t xml:space="preserve">1.2 Задача 2 </w:t>
      </w:r>
    </w:p>
    <w:p w:rsidR="00865C55" w:rsidRPr="0078386E" w:rsidRDefault="00865C55" w:rsidP="00865C55">
      <w:pPr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 xml:space="preserve">Рассчитать необходимую высоту молниеотводов </w:t>
      </w:r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color w:val="000000"/>
          <w:szCs w:val="28"/>
        </w:rPr>
        <w:t xml:space="preserve"> двойного стержневого молниеотвода и построить их зону защиты на высоте </w:t>
      </w:r>
      <w:proofErr w:type="spellStart"/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/>
          <w:color w:val="000000"/>
          <w:szCs w:val="28"/>
          <w:vertAlign w:val="subscript"/>
        </w:rPr>
        <w:t>x</w:t>
      </w:r>
      <w:proofErr w:type="spellEnd"/>
      <w:r>
        <w:rPr>
          <w:rFonts w:cs="Times New Roman"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защищаемого объекта размером </w:t>
      </w:r>
      <w:r w:rsidRPr="0078386E">
        <w:rPr>
          <w:rFonts w:cs="Times New Roman"/>
          <w:i/>
          <w:color w:val="000000"/>
          <w:szCs w:val="28"/>
        </w:rPr>
        <w:t>a*b</w:t>
      </w:r>
      <w:r w:rsidRPr="0078386E">
        <w:rPr>
          <w:rFonts w:cs="Times New Roman"/>
          <w:color w:val="000000"/>
          <w:szCs w:val="28"/>
        </w:rPr>
        <w:t>. Молниеотводы одинаковой высоты устанавливаются на крыше защищаемого объекта.  Данные для расчета приведены в табл. 2 [4].</w:t>
      </w:r>
    </w:p>
    <w:p w:rsidR="00865C55" w:rsidRPr="00865C55" w:rsidRDefault="00865C55" w:rsidP="00865C55">
      <w:pPr>
        <w:spacing w:after="0" w:line="276" w:lineRule="auto"/>
        <w:ind w:left="1287"/>
        <w:jc w:val="right"/>
        <w:rPr>
          <w:rFonts w:cs="Times New Roman"/>
          <w:szCs w:val="28"/>
        </w:rPr>
      </w:pPr>
      <w:r w:rsidRPr="00865C55">
        <w:rPr>
          <w:rFonts w:cs="Times New Roman"/>
          <w:szCs w:val="28"/>
        </w:rPr>
        <w:t>Таблица 2</w:t>
      </w:r>
    </w:p>
    <w:tbl>
      <w:tblPr>
        <w:tblStyle w:val="a3"/>
        <w:tblW w:w="0" w:type="auto"/>
        <w:tblInd w:w="1287" w:type="dxa"/>
        <w:tblLook w:val="04A0" w:firstRow="1" w:lastRow="0" w:firstColumn="1" w:lastColumn="0" w:noHBand="0" w:noVBand="1"/>
      </w:tblPr>
      <w:tblGrid>
        <w:gridCol w:w="1225"/>
        <w:gridCol w:w="1694"/>
        <w:gridCol w:w="1836"/>
        <w:gridCol w:w="1924"/>
        <w:gridCol w:w="1662"/>
      </w:tblGrid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Вариант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Ширина </w:t>
            </w:r>
            <w:r w:rsidR="00B34E3B">
              <w:rPr>
                <w:rFonts w:cs="Times New Roman"/>
                <w:sz w:val="24"/>
                <w:szCs w:val="24"/>
              </w:rPr>
              <w:br/>
            </w:r>
            <w:r w:rsidRPr="0078386E">
              <w:rPr>
                <w:rFonts w:cs="Times New Roman"/>
                <w:sz w:val="24"/>
                <w:szCs w:val="24"/>
              </w:rPr>
              <w:t xml:space="preserve">объекта </w:t>
            </w:r>
            <w:r w:rsidRPr="0078386E">
              <w:rPr>
                <w:rFonts w:cs="Times New Roman"/>
                <w:i/>
                <w:sz w:val="24"/>
                <w:szCs w:val="24"/>
              </w:rPr>
              <w:t>a</w:t>
            </w:r>
            <w:r w:rsidRPr="0078386E">
              <w:rPr>
                <w:rFonts w:cs="Times New Roman"/>
                <w:sz w:val="24"/>
                <w:szCs w:val="24"/>
              </w:rPr>
              <w:t>, м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Длина объекта </w:t>
            </w:r>
            <w:r w:rsidRPr="0078386E">
              <w:rPr>
                <w:rFonts w:cs="Times New Roman"/>
                <w:i/>
                <w:sz w:val="24"/>
                <w:szCs w:val="24"/>
              </w:rPr>
              <w:t>b</w:t>
            </w:r>
            <w:r w:rsidRPr="0078386E">
              <w:rPr>
                <w:rFonts w:cs="Times New Roman"/>
                <w:sz w:val="24"/>
                <w:szCs w:val="24"/>
              </w:rPr>
              <w:t>, м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Высота объекта </w:t>
            </w:r>
            <w:proofErr w:type="spellStart"/>
            <w:r w:rsidRPr="0078386E">
              <w:rPr>
                <w:rFonts w:cs="Times New Roman"/>
                <w:i/>
                <w:color w:val="000000"/>
                <w:sz w:val="24"/>
                <w:szCs w:val="24"/>
              </w:rPr>
              <w:t>h</w:t>
            </w:r>
            <w:r w:rsidRPr="0078386E">
              <w:rPr>
                <w:rFonts w:cs="Times New Roman"/>
                <w:i/>
                <w:color w:val="000000"/>
                <w:sz w:val="24"/>
                <w:szCs w:val="24"/>
                <w:vertAlign w:val="subscript"/>
              </w:rPr>
              <w:t>x</w:t>
            </w:r>
            <w:proofErr w:type="spellEnd"/>
            <w:r w:rsidRPr="0078386E">
              <w:rPr>
                <w:rFonts w:cs="Times New Roman"/>
                <w:sz w:val="24"/>
                <w:szCs w:val="24"/>
              </w:rPr>
              <w:t>, м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  <w:vertAlign w:val="subscript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Надежность защиты </w:t>
            </w:r>
            <w:proofErr w:type="spellStart"/>
            <w:r w:rsidRPr="0078386E">
              <w:rPr>
                <w:rFonts w:cs="Times New Roman"/>
                <w:i/>
                <w:sz w:val="24"/>
                <w:szCs w:val="24"/>
              </w:rPr>
              <w:t>Р</w:t>
            </w:r>
            <w:r w:rsidRPr="0078386E">
              <w:rPr>
                <w:rFonts w:cs="Times New Roman"/>
                <w:i/>
                <w:sz w:val="24"/>
                <w:szCs w:val="24"/>
                <w:vertAlign w:val="subscript"/>
              </w:rPr>
              <w:t>з</w:t>
            </w:r>
            <w:proofErr w:type="spellEnd"/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85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90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</w:tbl>
    <w:p w:rsidR="00865C55" w:rsidRPr="0078386E" w:rsidRDefault="00865C55" w:rsidP="00865C55">
      <w:pPr>
        <w:spacing w:after="0"/>
        <w:ind w:left="1287"/>
        <w:rPr>
          <w:rFonts w:cs="Times New Roman"/>
          <w:sz w:val="24"/>
          <w:szCs w:val="24"/>
        </w:rPr>
      </w:pPr>
    </w:p>
    <w:p w:rsidR="00B34E3B" w:rsidRPr="000075B4" w:rsidRDefault="00B34E3B" w:rsidP="00B34E3B">
      <w:pPr>
        <w:keepNext/>
        <w:spacing w:after="0" w:line="276" w:lineRule="auto"/>
        <w:jc w:val="center"/>
        <w:rPr>
          <w:rFonts w:cs="Times New Roman"/>
          <w:szCs w:val="28"/>
        </w:rPr>
      </w:pPr>
      <w:r w:rsidRPr="000075B4">
        <w:rPr>
          <w:rFonts w:cs="Times New Roman"/>
          <w:szCs w:val="28"/>
        </w:rPr>
        <w:t xml:space="preserve">1.3 Вопросы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Газовая изоляция и её применение в электроэнергетике.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Основные процессы и виды ионизации в газах.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Зависимость электрической прочности газов от различных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факторов (давления, разряжения, введения посторонних веществ и др.).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Частичные разряды. Условия их возникновения, их воздействие </w:t>
      </w:r>
      <w:r w:rsidRPr="0078386E">
        <w:rPr>
          <w:rFonts w:ascii="Times New Roman" w:hAnsi="Times New Roman" w:cs="Times New Roman"/>
          <w:sz w:val="28"/>
          <w:szCs w:val="28"/>
        </w:rPr>
        <w:t xml:space="preserve">на изоляцию.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Скользящий разряд. Условия возникновения. Его воздействие на изоляцию.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Коронный разряд. Условия его возникновения. Основные </w:t>
      </w:r>
      <w:r w:rsidRPr="0078386E">
        <w:rPr>
          <w:rFonts w:ascii="Times New Roman" w:hAnsi="Times New Roman" w:cs="Times New Roman"/>
          <w:sz w:val="28"/>
          <w:szCs w:val="28"/>
        </w:rPr>
        <w:t xml:space="preserve">особенности. Способы снижения потерь мощности на корону и радиопомехи.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8386E">
        <w:rPr>
          <w:rFonts w:ascii="Times New Roman" w:hAnsi="Times New Roman" w:cs="Times New Roman"/>
          <w:sz w:val="28"/>
          <w:szCs w:val="28"/>
        </w:rPr>
        <w:t>электрические</w:t>
      </w:r>
      <w:r>
        <w:rPr>
          <w:rFonts w:ascii="Times New Roman" w:hAnsi="Times New Roman" w:cs="Times New Roman"/>
          <w:sz w:val="28"/>
          <w:szCs w:val="28"/>
        </w:rPr>
        <w:t xml:space="preserve"> воздействия, которым подвергается</w:t>
      </w:r>
      <w:r w:rsidRPr="0078386E">
        <w:rPr>
          <w:rFonts w:ascii="Times New Roman" w:hAnsi="Times New Roman" w:cs="Times New Roman"/>
          <w:sz w:val="28"/>
          <w:szCs w:val="28"/>
        </w:rPr>
        <w:t xml:space="preserve"> изоляция высоковольтных конструкций в процессе эксплуатации.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внутренних перенапряжений в электрических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установках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высоковольтных изоляторов, их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конструктивные особенности и используемые материалы.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электрические характеристики изоляции силовых трансформаторов.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электрические и тепловые характеристики изоляции </w:t>
      </w:r>
      <w:r w:rsidRPr="0078386E">
        <w:rPr>
          <w:rFonts w:ascii="Times New Roman" w:hAnsi="Times New Roman" w:cs="Times New Roman"/>
          <w:sz w:val="28"/>
          <w:szCs w:val="28"/>
        </w:rPr>
        <w:t xml:space="preserve">силовых электрических кабелей различной конструкции.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Основные электрические характеристики изоляции </w:t>
      </w:r>
      <w:r>
        <w:rPr>
          <w:rFonts w:ascii="Times New Roman" w:hAnsi="Times New Roman" w:cs="Times New Roman"/>
          <w:sz w:val="28"/>
          <w:szCs w:val="28"/>
        </w:rPr>
        <w:t>силовых конденсаторов.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Методы испытаний изоляции электростанций, подстанций и линий электропередачи.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Виды профилактических испытаний изоляции </w:t>
      </w:r>
      <w:r w:rsidRPr="0078386E">
        <w:rPr>
          <w:rFonts w:ascii="Times New Roman" w:hAnsi="Times New Roman" w:cs="Times New Roman"/>
          <w:sz w:val="28"/>
          <w:szCs w:val="28"/>
        </w:rPr>
        <w:t xml:space="preserve">высоковольтных конструкций.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факторы, влияющие на снижение электрической </w:t>
      </w:r>
      <w:r w:rsidRPr="0078386E">
        <w:rPr>
          <w:rFonts w:ascii="Times New Roman" w:hAnsi="Times New Roman" w:cs="Times New Roman"/>
          <w:sz w:val="28"/>
          <w:szCs w:val="28"/>
        </w:rPr>
        <w:t xml:space="preserve">прочности высоковольтных конструкций в процессе эксплуатации.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Молнии как источник грозовых перенапряжений. Интенсивность</w:t>
      </w:r>
      <w:r w:rsidRPr="0078386E">
        <w:rPr>
          <w:rFonts w:ascii="Times New Roman" w:hAnsi="Times New Roman" w:cs="Times New Roman"/>
          <w:sz w:val="28"/>
          <w:szCs w:val="28"/>
        </w:rPr>
        <w:t xml:space="preserve"> грозовой деятельности. Электрические характеристики молний.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Молниеотводы. Принципы их действия. Зоны защиты подстанций </w:t>
      </w:r>
      <w:r w:rsidRPr="0078386E">
        <w:rPr>
          <w:rFonts w:ascii="Times New Roman" w:hAnsi="Times New Roman" w:cs="Times New Roman"/>
          <w:sz w:val="28"/>
          <w:szCs w:val="28"/>
        </w:rPr>
        <w:t>от прям</w:t>
      </w:r>
      <w:r>
        <w:rPr>
          <w:rFonts w:ascii="Times New Roman" w:hAnsi="Times New Roman" w:cs="Times New Roman"/>
          <w:sz w:val="28"/>
          <w:szCs w:val="28"/>
        </w:rPr>
        <w:t>ых ударов молнии.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 Защита оборудования подстанций от набегающих волн перенапряжений.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 Вентильные разрядники и ограничители перенапряжения.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Молниезащита линий электропередачи.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Перенапряжения в длинных линиях электропередачи. </w:t>
      </w:r>
      <w:r w:rsidRPr="0078386E">
        <w:rPr>
          <w:rFonts w:ascii="Times New Roman" w:hAnsi="Times New Roman" w:cs="Times New Roman"/>
          <w:sz w:val="28"/>
          <w:szCs w:val="28"/>
        </w:rPr>
        <w:t xml:space="preserve">Влияние шунтирующих реакторов на величину перенапряжений.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Феррорезонансные перенапряжения. Условия их</w:t>
      </w:r>
      <w:r w:rsidRPr="0078386E">
        <w:rPr>
          <w:rFonts w:ascii="Times New Roman" w:hAnsi="Times New Roman" w:cs="Times New Roman"/>
          <w:sz w:val="28"/>
          <w:szCs w:val="28"/>
        </w:rPr>
        <w:t xml:space="preserve"> возникновения</w:t>
      </w:r>
      <w:r>
        <w:rPr>
          <w:rFonts w:ascii="Times New Roman" w:hAnsi="Times New Roman" w:cs="Times New Roman"/>
          <w:sz w:val="28"/>
          <w:szCs w:val="28"/>
        </w:rPr>
        <w:t>. Меры их ограничения.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Коммутационные перенапряжения при отключениях </w:t>
      </w:r>
      <w:r w:rsidR="00DC5E8E">
        <w:rPr>
          <w:rFonts w:ascii="Times New Roman" w:hAnsi="Times New Roman" w:cs="Times New Roman"/>
          <w:sz w:val="28"/>
          <w:szCs w:val="28"/>
        </w:rPr>
        <w:t xml:space="preserve">коротких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замыканий. Меры их ограничения. </w:t>
      </w:r>
    </w:p>
    <w:p w:rsidR="00B34E3B" w:rsidRPr="0078386E" w:rsidRDefault="00B34E3B" w:rsidP="00B34E3B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27. Перенапряжения при </w:t>
      </w:r>
      <w:r w:rsidRPr="0078386E">
        <w:rPr>
          <w:rFonts w:cs="Times New Roman"/>
          <w:szCs w:val="28"/>
        </w:rPr>
        <w:t>отк</w:t>
      </w:r>
      <w:r w:rsidR="00DC5E8E">
        <w:rPr>
          <w:rFonts w:cs="Times New Roman"/>
          <w:szCs w:val="28"/>
        </w:rPr>
        <w:t xml:space="preserve">лючениях ненагруженных </w:t>
      </w:r>
      <w:r>
        <w:rPr>
          <w:rFonts w:cs="Times New Roman"/>
          <w:szCs w:val="28"/>
        </w:rPr>
        <w:t>трансформаторов и линий. Меры их ограничения.</w:t>
      </w:r>
    </w:p>
    <w:p w:rsidR="00B34E3B" w:rsidRPr="0078386E" w:rsidRDefault="00B34E3B" w:rsidP="00B34E3B">
      <w:pPr>
        <w:spacing w:after="0" w:line="276" w:lineRule="auto"/>
        <w:jc w:val="both"/>
        <w:rPr>
          <w:rFonts w:cs="Times New Roman"/>
          <w:szCs w:val="28"/>
        </w:rPr>
      </w:pPr>
      <w:r w:rsidRPr="0078386E">
        <w:rPr>
          <w:rFonts w:cs="Times New Roman"/>
          <w:szCs w:val="28"/>
        </w:rPr>
        <w:t xml:space="preserve">28. Перенапряжения </w:t>
      </w:r>
      <w:r w:rsidR="00DC5E8E">
        <w:rPr>
          <w:rFonts w:cs="Times New Roman"/>
          <w:szCs w:val="28"/>
        </w:rPr>
        <w:t xml:space="preserve">при дуговых замыканиях на </w:t>
      </w:r>
      <w:r>
        <w:rPr>
          <w:rFonts w:cs="Times New Roman"/>
          <w:szCs w:val="28"/>
        </w:rPr>
        <w:t xml:space="preserve">землю в системах </w:t>
      </w:r>
      <w:r w:rsidRPr="0078386E">
        <w:rPr>
          <w:rFonts w:cs="Times New Roman"/>
          <w:szCs w:val="28"/>
        </w:rPr>
        <w:t xml:space="preserve">с изолированной нейтралью. Меры их ограничения. </w:t>
      </w:r>
    </w:p>
    <w:p w:rsidR="00B34E3B" w:rsidRPr="0078386E" w:rsidRDefault="00B34E3B" w:rsidP="00B34E3B">
      <w:pPr>
        <w:pStyle w:val="a5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0075B4" w:rsidRPr="0078386E" w:rsidRDefault="000075B4" w:rsidP="000075B4">
      <w:pPr>
        <w:pageBreakBefore/>
        <w:spacing w:after="0" w:line="276" w:lineRule="auto"/>
        <w:ind w:firstLine="284"/>
        <w:jc w:val="center"/>
        <w:rPr>
          <w:rFonts w:cs="Times New Roman"/>
          <w:b/>
          <w:szCs w:val="28"/>
        </w:rPr>
      </w:pPr>
      <w:r w:rsidRPr="0078386E">
        <w:rPr>
          <w:rFonts w:cs="Times New Roman"/>
          <w:b/>
          <w:szCs w:val="28"/>
        </w:rPr>
        <w:lastRenderedPageBreak/>
        <w:t>2 Методические указания по решению задач</w: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center"/>
        <w:rPr>
          <w:rFonts w:cs="Times New Roman"/>
          <w:szCs w:val="28"/>
        </w:rPr>
      </w:pPr>
      <w:r w:rsidRPr="0078386E">
        <w:rPr>
          <w:rFonts w:cs="Times New Roman"/>
          <w:szCs w:val="28"/>
        </w:rPr>
        <w:t>2.1 Задача 1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>В соответствии с ПУЭ количество подвесных тарельчатых изоляторов в поддерживающих гирляндах для ВЛ на металлических и железобетонных опорах должно определяться по формуле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284"/>
        <w:jc w:val="center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position w:val="-26"/>
          <w:szCs w:val="28"/>
        </w:rPr>
        <w:object w:dxaOrig="7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95pt;height:40.3pt" o:ole="">
            <v:imagedata r:id="rId9" o:title=""/>
          </v:shape>
          <o:OLEObject Type="Embed" ProgID="Equation.DSMT4" ShapeID="_x0000_i1025" DrawAspect="Content" ObjectID="_1753118946" r:id="rId10"/>
        </w:objec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где </w:t>
      </w:r>
      <w:proofErr w:type="spellStart"/>
      <w:r w:rsidRPr="0078386E">
        <w:rPr>
          <w:rFonts w:cs="Times New Roman"/>
          <w:i/>
          <w:iCs/>
          <w:color w:val="000000"/>
          <w:szCs w:val="28"/>
        </w:rPr>
        <w:t>L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proofErr w:type="spellEnd"/>
      <w:r w:rsidRPr="0078386E">
        <w:rPr>
          <w:rFonts w:cs="Times New Roman"/>
          <w:color w:val="000000"/>
          <w:szCs w:val="28"/>
        </w:rPr>
        <w:t xml:space="preserve">(см) - длина пути утечки одного изолятора по стандарту или техническим условиям на изолятор конкретного типа (табл. 1), если расчет </w:t>
      </w:r>
      <w:r w:rsidRPr="0078386E">
        <w:rPr>
          <w:rFonts w:cs="Times New Roman"/>
          <w:i/>
          <w:iCs/>
          <w:color w:val="000000"/>
          <w:szCs w:val="28"/>
        </w:rPr>
        <w:t>m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>не дает целого числа, то выбирают следующее целое число;</w:t>
      </w:r>
      <w:r w:rsidRPr="0078386E">
        <w:rPr>
          <w:rFonts w:cs="Times New Roman"/>
          <w:i/>
          <w:color w:val="000000"/>
          <w:szCs w:val="28"/>
        </w:rPr>
        <w:t xml:space="preserve"> L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>(см) - длина пути утечки изоляторов и изоляционных конструкций из стекла и фарфора.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>Длина пути утечки изоляторов определяется по формуле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284"/>
        <w:jc w:val="center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i/>
          <w:color w:val="000000"/>
          <w:szCs w:val="28"/>
        </w:rPr>
        <w:t>L</w:t>
      </w:r>
      <w:r w:rsidRPr="0078386E">
        <w:rPr>
          <w:rFonts w:cs="Times New Roman"/>
          <w:iCs/>
          <w:color w:val="000000"/>
          <w:szCs w:val="28"/>
        </w:rPr>
        <w:t xml:space="preserve"> = </w:t>
      </w:r>
      <w:r w:rsidRPr="0078386E">
        <w:rPr>
          <w:rFonts w:cs="Times New Roman"/>
          <w:iCs/>
          <w:color w:val="000000"/>
          <w:szCs w:val="28"/>
        </w:rPr>
        <w:sym w:font="Symbol" w:char="F06C"/>
      </w:r>
      <w:r w:rsidRPr="0078386E">
        <w:rPr>
          <w:rFonts w:cs="Times New Roman"/>
          <w:iCs/>
          <w:color w:val="000000"/>
          <w:szCs w:val="28"/>
          <w:vertAlign w:val="subscript"/>
        </w:rPr>
        <w:t>э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D7"/>
      </w:r>
      <w:proofErr w:type="gramStart"/>
      <w:r w:rsidRPr="0078386E">
        <w:rPr>
          <w:rFonts w:cs="Times New Roman"/>
          <w:i/>
          <w:color w:val="000000"/>
          <w:szCs w:val="28"/>
        </w:rPr>
        <w:t>U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D7"/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/>
          <w:color w:val="000000"/>
          <w:szCs w:val="28"/>
        </w:rPr>
        <w:t>k</w:t>
      </w:r>
      <w:proofErr w:type="gramEnd"/>
      <w:r w:rsidRPr="0078386E">
        <w:rPr>
          <w:rFonts w:cs="Times New Roman"/>
          <w:iCs/>
          <w:color w:val="000000"/>
          <w:szCs w:val="28"/>
        </w:rPr>
        <w:t>,</w: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где </w:t>
      </w:r>
      <w:r w:rsidRPr="0078386E">
        <w:rPr>
          <w:rFonts w:cs="Times New Roman"/>
          <w:iCs/>
          <w:color w:val="000000"/>
          <w:szCs w:val="28"/>
        </w:rPr>
        <w:sym w:font="Symbol" w:char="F06C"/>
      </w:r>
      <w:r w:rsidRPr="0078386E">
        <w:rPr>
          <w:rFonts w:cs="Times New Roman"/>
          <w:iCs/>
          <w:color w:val="000000"/>
          <w:szCs w:val="28"/>
          <w:vertAlign w:val="subscript"/>
        </w:rPr>
        <w:t>э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— удельная эффективная длина пути утечки по табл. 3, см/кВ; </w:t>
      </w:r>
      <w:r w:rsidRPr="0078386E">
        <w:rPr>
          <w:rFonts w:cs="Times New Roman"/>
          <w:i/>
          <w:color w:val="000000"/>
          <w:szCs w:val="28"/>
        </w:rPr>
        <w:t>U</w:t>
      </w:r>
      <w:r w:rsidRPr="0078386E">
        <w:rPr>
          <w:rFonts w:cs="Times New Roman"/>
          <w:iCs/>
          <w:color w:val="000000"/>
          <w:szCs w:val="28"/>
        </w:rPr>
        <w:t xml:space="preserve"> - </w:t>
      </w:r>
      <w:r w:rsidRPr="0078386E">
        <w:rPr>
          <w:rFonts w:cs="Times New Roman"/>
          <w:color w:val="000000"/>
          <w:szCs w:val="28"/>
        </w:rPr>
        <w:t xml:space="preserve">наибольшее рабочее междуфазное напряжение, кВ;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 xml:space="preserve"> — </w:t>
      </w:r>
      <w:r w:rsidRPr="0078386E">
        <w:rPr>
          <w:rFonts w:cs="Times New Roman"/>
          <w:color w:val="000000"/>
          <w:szCs w:val="28"/>
        </w:rPr>
        <w:t>коэффициент использования длины пути утечки.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>Наибольшее рабочее междуфазное напряжение для ЛЭП 35 - 220кВ равно 1,15U</w:t>
      </w:r>
      <w:r w:rsidRPr="0078386E">
        <w:rPr>
          <w:rFonts w:cs="Times New Roman"/>
          <w:color w:val="000000"/>
          <w:szCs w:val="28"/>
          <w:vertAlign w:val="subscript"/>
        </w:rPr>
        <w:t>ном</w:t>
      </w:r>
      <w:r w:rsidRPr="0078386E">
        <w:rPr>
          <w:rFonts w:cs="Times New Roman"/>
          <w:color w:val="000000"/>
          <w:szCs w:val="28"/>
        </w:rPr>
        <w:t>, для ЛЭП 330кВ – 1,1U</w:t>
      </w:r>
      <w:r w:rsidRPr="0078386E">
        <w:rPr>
          <w:rFonts w:cs="Times New Roman"/>
          <w:color w:val="000000"/>
          <w:szCs w:val="28"/>
          <w:vertAlign w:val="subscript"/>
        </w:rPr>
        <w:t>ном</w:t>
      </w:r>
      <w:r w:rsidRPr="0078386E">
        <w:rPr>
          <w:rFonts w:cs="Times New Roman"/>
          <w:color w:val="000000"/>
          <w:szCs w:val="28"/>
        </w:rPr>
        <w:t>, для ЛЭП 500-750кВ – 1,05U</w:t>
      </w:r>
      <w:r w:rsidRPr="0078386E">
        <w:rPr>
          <w:rFonts w:cs="Times New Roman"/>
          <w:color w:val="000000"/>
          <w:szCs w:val="28"/>
          <w:vertAlign w:val="subscript"/>
        </w:rPr>
        <w:t>ном</w:t>
      </w:r>
      <w:r w:rsidRPr="0078386E">
        <w:rPr>
          <w:rFonts w:cs="Times New Roman"/>
          <w:color w:val="000000"/>
          <w:szCs w:val="28"/>
        </w:rPr>
        <w:t>.</w:t>
      </w:r>
    </w:p>
    <w:p w:rsidR="000075B4" w:rsidRPr="000075B4" w:rsidRDefault="000075B4" w:rsidP="000075B4">
      <w:pPr>
        <w:shd w:val="clear" w:color="auto" w:fill="FFFFFF"/>
        <w:spacing w:after="0" w:line="276" w:lineRule="auto"/>
        <w:ind w:firstLine="284"/>
        <w:jc w:val="right"/>
        <w:rPr>
          <w:rFonts w:cs="Times New Roman"/>
          <w:szCs w:val="28"/>
        </w:rPr>
      </w:pPr>
      <w:r w:rsidRPr="000075B4">
        <w:rPr>
          <w:rFonts w:cs="Times New Roman"/>
          <w:color w:val="000000"/>
          <w:szCs w:val="28"/>
        </w:rPr>
        <w:t>Таблица 3.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1"/>
        <w:gridCol w:w="2630"/>
        <w:gridCol w:w="2313"/>
      </w:tblGrid>
      <w:tr w:rsidR="000075B4" w:rsidRPr="0078386E" w:rsidTr="006B543D">
        <w:trPr>
          <w:jc w:val="center"/>
        </w:trPr>
        <w:tc>
          <w:tcPr>
            <w:tcW w:w="16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Степень</w:t>
            </w:r>
          </w:p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загрязнения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iCs/>
                <w:color w:val="000000"/>
                <w:sz w:val="24"/>
                <w:szCs w:val="24"/>
              </w:rPr>
              <w:sym w:font="Symbol" w:char="F06C"/>
            </w:r>
            <w:r w:rsidRPr="0078386E">
              <w:rPr>
                <w:rFonts w:cs="Times New Roman"/>
                <w:iCs/>
                <w:color w:val="000000"/>
                <w:sz w:val="24"/>
                <w:szCs w:val="24"/>
                <w:vertAlign w:val="subscript"/>
              </w:rPr>
              <w:t>э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, см/кВ (не менее), при номинальном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напряжении, кВ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до 35 включительно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110-750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2,35</w:t>
            </w:r>
          </w:p>
        </w:tc>
        <w:tc>
          <w:tcPr>
            <w:tcW w:w="23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3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23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3,10</w:t>
            </w:r>
          </w:p>
        </w:tc>
      </w:tr>
    </w:tbl>
    <w:p w:rsidR="0063022E" w:rsidRDefault="0063022E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Коэффициенты использования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>изоляционных конструкций, составленных из однотипных изоляторов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284"/>
        <w:jc w:val="center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 xml:space="preserve"> = </w:t>
      </w:r>
      <w:proofErr w:type="spellStart"/>
      <w:r w:rsidRPr="0078386E">
        <w:rPr>
          <w:rFonts w:cs="Times New Roman"/>
          <w:i/>
          <w:color w:val="000000"/>
          <w:szCs w:val="28"/>
        </w:rPr>
        <w:t>k</w:t>
      </w:r>
      <w:proofErr w:type="gramStart"/>
      <w:r w:rsidRPr="0078386E">
        <w:rPr>
          <w:rFonts w:cs="Times New Roman"/>
          <w:iCs/>
          <w:color w:val="000000"/>
          <w:szCs w:val="28"/>
          <w:vertAlign w:val="subscript"/>
        </w:rPr>
        <w:t>и</w:t>
      </w:r>
      <w:proofErr w:type="spellEnd"/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D7"/>
      </w:r>
      <w:r w:rsidRPr="0078386E">
        <w:rPr>
          <w:rFonts w:cs="Times New Roman"/>
          <w:iCs/>
          <w:color w:val="000000"/>
          <w:szCs w:val="28"/>
        </w:rPr>
        <w:t xml:space="preserve"> </w:t>
      </w:r>
      <w:proofErr w:type="spellStart"/>
      <w:r w:rsidRPr="0078386E">
        <w:rPr>
          <w:rFonts w:cs="Times New Roman"/>
          <w:i/>
          <w:color w:val="000000"/>
          <w:szCs w:val="28"/>
        </w:rPr>
        <w:t>k</w:t>
      </w:r>
      <w:proofErr w:type="gramEnd"/>
      <w:r w:rsidRPr="0078386E">
        <w:rPr>
          <w:rFonts w:cs="Times New Roman"/>
          <w:iCs/>
          <w:color w:val="000000"/>
          <w:szCs w:val="28"/>
          <w:vertAlign w:val="subscript"/>
        </w:rPr>
        <w:t>к</w:t>
      </w:r>
      <w:proofErr w:type="spellEnd"/>
      <w:r w:rsidRPr="0078386E">
        <w:rPr>
          <w:rFonts w:cs="Times New Roman"/>
          <w:iCs/>
          <w:color w:val="000000"/>
          <w:szCs w:val="28"/>
        </w:rPr>
        <w:t>,</w: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где </w:t>
      </w:r>
      <w:proofErr w:type="spellStart"/>
      <w:r w:rsidRPr="0078386E">
        <w:rPr>
          <w:rFonts w:cs="Times New Roman"/>
          <w:i/>
          <w:iCs/>
          <w:color w:val="000000"/>
          <w:szCs w:val="28"/>
        </w:rPr>
        <w:t>k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proofErr w:type="spellEnd"/>
      <w:r w:rsidRPr="0078386E">
        <w:rPr>
          <w:rFonts w:cs="Times New Roman"/>
          <w:color w:val="000000"/>
          <w:szCs w:val="28"/>
        </w:rPr>
        <w:t xml:space="preserve"> - коэффициент использования изолятора; </w:t>
      </w:r>
      <w:proofErr w:type="spellStart"/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  <w:vertAlign w:val="subscript"/>
        </w:rPr>
        <w:t>к</w:t>
      </w:r>
      <w:proofErr w:type="spellEnd"/>
      <w:r w:rsidRPr="0078386E">
        <w:rPr>
          <w:rFonts w:cs="Times New Roman"/>
          <w:iCs/>
          <w:color w:val="000000"/>
          <w:szCs w:val="28"/>
        </w:rPr>
        <w:t xml:space="preserve"> - </w:t>
      </w:r>
      <w:r w:rsidRPr="0078386E">
        <w:rPr>
          <w:rFonts w:cs="Times New Roman"/>
          <w:color w:val="000000"/>
          <w:szCs w:val="28"/>
        </w:rPr>
        <w:t>коэффициент использования составной конструкции с параллельными или последовательно-параллельными ветвями (Для одноцепных гирлянд</w:t>
      </w:r>
      <w:r w:rsidRPr="0078386E">
        <w:rPr>
          <w:rFonts w:cs="Times New Roman"/>
          <w:i/>
          <w:color w:val="000000"/>
          <w:szCs w:val="28"/>
        </w:rPr>
        <w:t xml:space="preserve"> </w:t>
      </w:r>
      <w:proofErr w:type="spellStart"/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  <w:vertAlign w:val="subscript"/>
        </w:rPr>
        <w:t>к</w:t>
      </w:r>
      <w:proofErr w:type="spellEnd"/>
      <w:r w:rsidRPr="0078386E">
        <w:rPr>
          <w:rFonts w:cs="Times New Roman"/>
          <w:iCs/>
          <w:color w:val="000000"/>
          <w:szCs w:val="28"/>
        </w:rPr>
        <w:t xml:space="preserve"> =</w:t>
      </w:r>
      <w:r w:rsidRPr="0078386E">
        <w:rPr>
          <w:rFonts w:cs="Times New Roman"/>
          <w:color w:val="000000"/>
          <w:szCs w:val="28"/>
        </w:rPr>
        <w:t xml:space="preserve"> 1,0.).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Коэффициенты использования </w:t>
      </w:r>
      <w:proofErr w:type="spellStart"/>
      <w:r w:rsidRPr="0078386E">
        <w:rPr>
          <w:rFonts w:cs="Times New Roman"/>
          <w:i/>
          <w:iCs/>
          <w:color w:val="000000"/>
          <w:szCs w:val="28"/>
        </w:rPr>
        <w:t>k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proofErr w:type="spellEnd"/>
      <w:r w:rsidRPr="0078386E">
        <w:rPr>
          <w:rFonts w:cs="Times New Roman"/>
          <w:color w:val="000000"/>
          <w:szCs w:val="28"/>
        </w:rPr>
        <w:t xml:space="preserve"> подвесных тарельчатых изоляторов следует определять по табл. 4 в зависимости от отношения длины пути утечки изолятора </w:t>
      </w:r>
      <w:proofErr w:type="spellStart"/>
      <w:r w:rsidRPr="0078386E">
        <w:rPr>
          <w:rFonts w:cs="Times New Roman"/>
          <w:i/>
          <w:iCs/>
          <w:color w:val="000000"/>
          <w:szCs w:val="28"/>
        </w:rPr>
        <w:t>L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proofErr w:type="spellEnd"/>
      <w:r w:rsidRPr="0078386E">
        <w:rPr>
          <w:rFonts w:cs="Times New Roman"/>
          <w:color w:val="000000"/>
          <w:szCs w:val="28"/>
        </w:rPr>
        <w:t xml:space="preserve"> к диаметру его тарелки </w:t>
      </w:r>
      <w:r w:rsidRPr="0078386E">
        <w:rPr>
          <w:rFonts w:cs="Times New Roman"/>
          <w:i/>
          <w:color w:val="000000"/>
          <w:szCs w:val="28"/>
        </w:rPr>
        <w:t>D</w:t>
      </w:r>
      <w:r w:rsidRPr="0078386E">
        <w:rPr>
          <w:rFonts w:cs="Times New Roman"/>
          <w:iCs/>
          <w:color w:val="000000"/>
          <w:szCs w:val="28"/>
        </w:rPr>
        <w:t>.</w:t>
      </w:r>
    </w:p>
    <w:p w:rsidR="000075B4" w:rsidRPr="00DF3AF9" w:rsidRDefault="000075B4" w:rsidP="000075B4">
      <w:pPr>
        <w:shd w:val="clear" w:color="auto" w:fill="FFFFFF"/>
        <w:spacing w:after="0"/>
        <w:ind w:firstLine="284"/>
        <w:jc w:val="right"/>
        <w:rPr>
          <w:rFonts w:cs="Times New Roman"/>
          <w:color w:val="000000"/>
          <w:szCs w:val="28"/>
        </w:rPr>
      </w:pPr>
      <w:r w:rsidRPr="00DF3AF9">
        <w:rPr>
          <w:rFonts w:cs="Times New Roman"/>
          <w:color w:val="000000"/>
          <w:szCs w:val="28"/>
        </w:rPr>
        <w:t>Таблица 4</w:t>
      </w:r>
      <w:r w:rsidR="00DF3AF9">
        <w:rPr>
          <w:rFonts w:cs="Times New Roman"/>
          <w:color w:val="000000"/>
          <w:szCs w:val="28"/>
        </w:rPr>
        <w:t>.</w:t>
      </w:r>
    </w:p>
    <w:tbl>
      <w:tblPr>
        <w:tblW w:w="4333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04"/>
        <w:gridCol w:w="4534"/>
      </w:tblGrid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L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и</w:t>
            </w:r>
            <w:proofErr w:type="spellEnd"/>
            <w:r w:rsidRPr="0078386E">
              <w:rPr>
                <w:rFonts w:cs="Times New Roman"/>
                <w:iCs/>
                <w:smallCaps/>
                <w:color w:val="000000"/>
                <w:sz w:val="24"/>
                <w:szCs w:val="24"/>
              </w:rPr>
              <w:t>/</w:t>
            </w:r>
            <w:r w:rsidRPr="0078386E">
              <w:rPr>
                <w:rFonts w:cs="Times New Roman"/>
                <w:i/>
                <w:smallCaps/>
                <w:color w:val="000000"/>
                <w:sz w:val="24"/>
                <w:szCs w:val="24"/>
              </w:rPr>
              <w:t>d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k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и</w:t>
            </w:r>
            <w:proofErr w:type="spellEnd"/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0,90 до 1,05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lastRenderedPageBreak/>
              <w:t>От 1,05 до 1,10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1,10 до 1,20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1,10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1,20 до 1,30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1,30 до 1,40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1,20</w:t>
            </w:r>
          </w:p>
        </w:tc>
      </w:tr>
    </w:tbl>
    <w:p w:rsidR="000075B4" w:rsidRPr="0078386E" w:rsidRDefault="000075B4" w:rsidP="00DF3AF9">
      <w:pPr>
        <w:spacing w:after="0" w:line="276" w:lineRule="auto"/>
        <w:ind w:firstLine="567"/>
        <w:jc w:val="both"/>
        <w:rPr>
          <w:rFonts w:cs="Times New Roman"/>
          <w:b/>
          <w:sz w:val="24"/>
          <w:szCs w:val="24"/>
          <w:u w:val="single"/>
        </w:rPr>
      </w:pPr>
    </w:p>
    <w:p w:rsidR="0063022E" w:rsidRPr="0063022E" w:rsidRDefault="0063022E" w:rsidP="0063022E">
      <w:pPr>
        <w:spacing w:after="0" w:line="276" w:lineRule="auto"/>
        <w:jc w:val="center"/>
      </w:pPr>
      <w:r w:rsidRPr="0063022E">
        <w:t>2.2 Задача 2</w:t>
      </w:r>
    </w:p>
    <w:p w:rsidR="0063022E" w:rsidRDefault="0063022E" w:rsidP="0063022E">
      <w:pPr>
        <w:spacing w:after="0" w:line="276" w:lineRule="auto"/>
        <w:ind w:firstLine="567"/>
        <w:jc w:val="both"/>
        <w:rPr>
          <w:iCs/>
        </w:rPr>
      </w:pPr>
      <w:r w:rsidRPr="0063022E">
        <w:t xml:space="preserve">Зоны защиты одиночного и двухстержневого молниеотвода представлены на рис.1. В соответствии с СО 153-34.21.122 – 2003 стандартной зоной защиты одиночного стержневого молниеотвода высотой </w:t>
      </w:r>
      <w:r w:rsidRPr="0063022E">
        <w:rPr>
          <w:i/>
        </w:rPr>
        <w:t>h</w:t>
      </w:r>
      <w:r w:rsidRPr="0063022E">
        <w:rPr>
          <w:iCs/>
        </w:rPr>
        <w:t xml:space="preserve"> </w:t>
      </w:r>
      <w:r w:rsidRPr="0063022E">
        <w:t xml:space="preserve">является круговой конус высотой </w:t>
      </w:r>
      <w:r w:rsidRPr="0063022E">
        <w:rPr>
          <w:i/>
          <w:iCs/>
        </w:rPr>
        <w:t>h</w:t>
      </w:r>
      <w:r w:rsidRPr="0063022E">
        <w:rPr>
          <w:vertAlign w:val="subscript"/>
        </w:rPr>
        <w:t>0</w:t>
      </w:r>
      <w:r w:rsidRPr="0063022E">
        <w:t xml:space="preserve"> </w:t>
      </w:r>
      <w:proofErr w:type="gramStart"/>
      <w:r w:rsidRPr="0063022E">
        <w:t xml:space="preserve">&lt; </w:t>
      </w:r>
      <w:r w:rsidRPr="0063022E">
        <w:rPr>
          <w:i/>
        </w:rPr>
        <w:t>h</w:t>
      </w:r>
      <w:proofErr w:type="gramEnd"/>
      <w:r w:rsidRPr="0063022E">
        <w:rPr>
          <w:iCs/>
        </w:rPr>
        <w:t xml:space="preserve">, </w:t>
      </w:r>
      <w:r w:rsidRPr="0063022E">
        <w:t xml:space="preserve">вершина которого совпадает с вертикальной осью молниеотвода (рис.1а). Габариты зоны определяются двумя параметрами: высотой конуса </w:t>
      </w:r>
      <w:r w:rsidRPr="0063022E">
        <w:rPr>
          <w:i/>
          <w:iCs/>
        </w:rPr>
        <w:t>h</w:t>
      </w:r>
      <w:r w:rsidRPr="0063022E">
        <w:rPr>
          <w:iCs/>
          <w:vertAlign w:val="subscript"/>
        </w:rPr>
        <w:t>0</w:t>
      </w:r>
      <w:r w:rsidRPr="0063022E">
        <w:rPr>
          <w:iCs/>
        </w:rPr>
        <w:t xml:space="preserve"> </w:t>
      </w:r>
      <w:r w:rsidRPr="0063022E">
        <w:t xml:space="preserve">и радиусом конуса на уровне земли </w:t>
      </w:r>
      <w:r w:rsidRPr="0063022E">
        <w:rPr>
          <w:i/>
        </w:rPr>
        <w:t>r</w:t>
      </w:r>
      <w:r w:rsidRPr="0063022E">
        <w:rPr>
          <w:iCs/>
          <w:vertAlign w:val="subscript"/>
        </w:rPr>
        <w:t>0</w:t>
      </w:r>
      <w:r w:rsidRPr="0063022E">
        <w:rPr>
          <w:iCs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2"/>
        <w:gridCol w:w="6306"/>
      </w:tblGrid>
      <w:tr w:rsidR="00750B1D" w:rsidRPr="0078386E" w:rsidTr="00750B1D">
        <w:trPr>
          <w:trHeight w:val="5208"/>
        </w:trPr>
        <w:tc>
          <w:tcPr>
            <w:tcW w:w="3322" w:type="dxa"/>
            <w:vAlign w:val="center"/>
          </w:tcPr>
          <w:p w:rsidR="00750B1D" w:rsidRPr="0078386E" w:rsidRDefault="00750B1D" w:rsidP="006B543D">
            <w:pPr>
              <w:jc w:val="center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noProof/>
                <w:szCs w:val="28"/>
              </w:rPr>
              <w:drawing>
                <wp:inline distT="0" distB="0" distL="0" distR="0" wp14:anchorId="5890EC28" wp14:editId="4AC0A049">
                  <wp:extent cx="1889646" cy="2626242"/>
                  <wp:effectExtent l="19050" t="0" r="0" b="0"/>
                  <wp:docPr id="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088" cy="263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B1D" w:rsidRPr="0078386E" w:rsidRDefault="00750B1D" w:rsidP="006B543D">
            <w:pPr>
              <w:jc w:val="center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а)</w:t>
            </w:r>
          </w:p>
        </w:tc>
        <w:tc>
          <w:tcPr>
            <w:tcW w:w="6306" w:type="dxa"/>
          </w:tcPr>
          <w:p w:rsidR="00750B1D" w:rsidRPr="0078386E" w:rsidRDefault="00750B1D" w:rsidP="006B543D">
            <w:pPr>
              <w:jc w:val="right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noProof/>
                <w:szCs w:val="28"/>
              </w:rPr>
              <w:drawing>
                <wp:inline distT="0" distB="0" distL="0" distR="0" wp14:anchorId="5AD1DD9F" wp14:editId="402FF314">
                  <wp:extent cx="3840568" cy="3188315"/>
                  <wp:effectExtent l="19050" t="0" r="7532" b="0"/>
                  <wp:docPr id="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0412" cy="3188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B1D" w:rsidRPr="0078386E" w:rsidRDefault="00750B1D" w:rsidP="006B543D">
            <w:pPr>
              <w:jc w:val="center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б)</w:t>
            </w:r>
          </w:p>
        </w:tc>
      </w:tr>
    </w:tbl>
    <w:p w:rsidR="00750B1D" w:rsidRDefault="00750B1D" w:rsidP="00750B1D">
      <w:pPr>
        <w:spacing w:after="0" w:line="276" w:lineRule="auto"/>
        <w:jc w:val="center"/>
        <w:rPr>
          <w:iCs/>
        </w:rPr>
      </w:pPr>
      <w:r w:rsidRPr="00750B1D">
        <w:rPr>
          <w:iCs/>
        </w:rPr>
        <w:t>Рис.1. Зоны защиты одиночного (а) и двухстержневого молниеотвода (б).</w:t>
      </w:r>
    </w:p>
    <w:p w:rsidR="00750B1D" w:rsidRPr="00750B1D" w:rsidRDefault="00750B1D" w:rsidP="00750B1D">
      <w:pPr>
        <w:spacing w:after="0" w:line="276" w:lineRule="auto"/>
        <w:jc w:val="right"/>
        <w:rPr>
          <w:iCs/>
        </w:rPr>
      </w:pPr>
      <w:r>
        <w:rPr>
          <w:iCs/>
        </w:rPr>
        <w:t>Таблица 5</w:t>
      </w:r>
      <w:r w:rsidRPr="00750B1D">
        <w:rPr>
          <w:iCs/>
        </w:rPr>
        <w:t>.</w:t>
      </w:r>
    </w:p>
    <w:p w:rsidR="0063022E" w:rsidRPr="0063022E" w:rsidRDefault="0063022E" w:rsidP="00750B1D">
      <w:pPr>
        <w:spacing w:after="0" w:line="276" w:lineRule="auto"/>
        <w:jc w:val="center"/>
      </w:pPr>
      <w:r w:rsidRPr="0063022E">
        <w:t>Расчет зоны защиты одиночного стержневого молниеотвода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2294"/>
        <w:gridCol w:w="2945"/>
        <w:gridCol w:w="2814"/>
      </w:tblGrid>
      <w:tr w:rsidR="00750B1D" w:rsidRPr="0078386E" w:rsidTr="006B543D">
        <w:tc>
          <w:tcPr>
            <w:tcW w:w="1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Надежность защиты </w:t>
            </w:r>
            <w:proofErr w:type="spellStart"/>
            <w:r w:rsidRPr="0078386E">
              <w:rPr>
                <w:rFonts w:cs="Times New Roman"/>
                <w:i/>
                <w:color w:val="000000"/>
                <w:sz w:val="24"/>
                <w:szCs w:val="24"/>
              </w:rPr>
              <w:t>Р</w:t>
            </w:r>
            <w:r w:rsidRPr="0078386E">
              <w:rPr>
                <w:rFonts w:cs="Times New Roman"/>
                <w:iCs/>
                <w:color w:val="000000"/>
                <w:sz w:val="24"/>
                <w:szCs w:val="24"/>
                <w:vertAlign w:val="subscript"/>
              </w:rPr>
              <w:t>з</w:t>
            </w:r>
            <w:proofErr w:type="spellEnd"/>
          </w:p>
        </w:tc>
        <w:tc>
          <w:tcPr>
            <w:tcW w:w="25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Высота молниеотвода </w:t>
            </w: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Высота конуса </w:t>
            </w: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0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Радиус конуса </w:t>
            </w: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0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0,9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0 до 100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0,85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1,2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100 до 150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0,85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[1,2-10</w:t>
            </w:r>
            <w:r w:rsidRPr="0078386E">
              <w:rPr>
                <w:rFonts w:cs="Times New Roman"/>
                <w:color w:val="000000"/>
                <w:vertAlign w:val="superscript"/>
              </w:rPr>
              <w:t>-3</w:t>
            </w:r>
            <w:r w:rsidRPr="0078386E">
              <w:rPr>
                <w:rFonts w:cs="Times New Roman"/>
                <w:color w:val="000000"/>
              </w:rPr>
              <w:t>(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  <w:r w:rsidRPr="0078386E">
              <w:rPr>
                <w:rFonts w:cs="Times New Roman"/>
                <w:color w:val="000000"/>
              </w:rPr>
              <w:t>-100)]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0,99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0 до 30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30 до 100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[0,8-1,43</w:t>
            </w:r>
            <w:r w:rsidRPr="0078386E">
              <w:rPr>
                <w:rFonts w:cs="Times New Roman"/>
                <w:color w:val="000000"/>
              </w:rPr>
              <w:sym w:font="Symbol" w:char="F0D7"/>
            </w:r>
            <w:r w:rsidRPr="0078386E">
              <w:rPr>
                <w:rFonts w:cs="Times New Roman"/>
                <w:color w:val="000000"/>
              </w:rPr>
              <w:t>10</w:t>
            </w:r>
            <w:r w:rsidRPr="0078386E">
              <w:rPr>
                <w:rFonts w:cs="Times New Roman"/>
                <w:color w:val="000000"/>
                <w:vertAlign w:val="superscript"/>
              </w:rPr>
              <w:t>-3</w:t>
            </w:r>
            <w:r w:rsidRPr="0078386E">
              <w:rPr>
                <w:rFonts w:cs="Times New Roman"/>
                <w:color w:val="000000"/>
              </w:rPr>
              <w:t>(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  <w:r w:rsidRPr="0078386E">
              <w:rPr>
                <w:rFonts w:cs="Times New Roman"/>
                <w:color w:val="000000"/>
              </w:rPr>
              <w:t>-30)]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100 до 150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[0,8-10</w:t>
            </w:r>
            <w:r w:rsidRPr="0078386E">
              <w:rPr>
                <w:rFonts w:cs="Times New Roman"/>
                <w:color w:val="000000"/>
                <w:vertAlign w:val="superscript"/>
              </w:rPr>
              <w:t>-3</w:t>
            </w:r>
            <w:r w:rsidRPr="0078386E">
              <w:rPr>
                <w:rFonts w:cs="Times New Roman"/>
                <w:color w:val="000000"/>
              </w:rPr>
              <w:t>(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  <w:r w:rsidRPr="0078386E">
              <w:rPr>
                <w:rFonts w:cs="Times New Roman"/>
                <w:color w:val="000000"/>
              </w:rPr>
              <w:t>-100)]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0,7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</w:tbl>
    <w:p w:rsidR="00367816" w:rsidRDefault="00367816" w:rsidP="00B34E3B">
      <w:pPr>
        <w:spacing w:after="0" w:line="276" w:lineRule="auto"/>
        <w:jc w:val="both"/>
      </w:pPr>
    </w:p>
    <w:p w:rsidR="00750B1D" w:rsidRPr="00750B1D" w:rsidRDefault="00750B1D" w:rsidP="00750B1D">
      <w:pPr>
        <w:spacing w:after="0" w:line="276" w:lineRule="auto"/>
        <w:ind w:firstLine="567"/>
        <w:jc w:val="both"/>
      </w:pPr>
      <w:r w:rsidRPr="00750B1D">
        <w:lastRenderedPageBreak/>
        <w:t xml:space="preserve">Для зоны защиты требуемой надежности (рис.1а) радиус горизонтального сечения </w:t>
      </w:r>
      <w:proofErr w:type="spellStart"/>
      <w:r w:rsidRPr="00750B1D">
        <w:rPr>
          <w:i/>
          <w:iCs/>
        </w:rPr>
        <w:t>r</w:t>
      </w:r>
      <w:r w:rsidRPr="00750B1D">
        <w:rPr>
          <w:i/>
          <w:iCs/>
          <w:vertAlign w:val="subscript"/>
        </w:rPr>
        <w:t>x</w:t>
      </w:r>
      <w:proofErr w:type="spellEnd"/>
      <w:r w:rsidRPr="00750B1D">
        <w:rPr>
          <w:iCs/>
        </w:rPr>
        <w:t xml:space="preserve"> </w:t>
      </w:r>
      <w:r w:rsidRPr="00750B1D">
        <w:t xml:space="preserve">на высоте </w:t>
      </w:r>
      <w:proofErr w:type="spellStart"/>
      <w:r w:rsidRPr="00750B1D">
        <w:rPr>
          <w:i/>
        </w:rPr>
        <w:t>h</w:t>
      </w:r>
      <w:r w:rsidRPr="00750B1D">
        <w:rPr>
          <w:i/>
          <w:vertAlign w:val="subscript"/>
        </w:rPr>
        <w:t>x</w:t>
      </w:r>
      <w:proofErr w:type="spellEnd"/>
      <w:r w:rsidRPr="00750B1D">
        <w:rPr>
          <w:iCs/>
        </w:rPr>
        <w:t xml:space="preserve"> </w:t>
      </w:r>
      <w:r w:rsidRPr="00750B1D">
        <w:t>определяется по формуле:</w:t>
      </w:r>
    </w:p>
    <w:p w:rsidR="00750B1D" w:rsidRPr="00750B1D" w:rsidRDefault="00750B1D" w:rsidP="00750B1D">
      <w:pPr>
        <w:spacing w:after="0" w:line="276" w:lineRule="auto"/>
        <w:jc w:val="center"/>
      </w:pPr>
      <w:r w:rsidRPr="00750B1D">
        <w:object w:dxaOrig="1359" w:dyaOrig="580">
          <v:shape id="_x0000_i1026" type="#_x0000_t75" style="width:96.7pt;height:41.9pt" o:ole="">
            <v:imagedata r:id="rId13" o:title=""/>
          </v:shape>
          <o:OLEObject Type="Embed" ProgID="Equation.DSMT4" ShapeID="_x0000_i1026" DrawAspect="Content" ObjectID="_1753118947" r:id="rId14"/>
        </w:object>
      </w:r>
    </w:p>
    <w:p w:rsidR="00750B1D" w:rsidRPr="00750B1D" w:rsidRDefault="00750B1D" w:rsidP="00750B1D">
      <w:pPr>
        <w:spacing w:after="0" w:line="276" w:lineRule="auto"/>
        <w:ind w:firstLine="567"/>
        <w:jc w:val="both"/>
      </w:pPr>
      <w:r w:rsidRPr="00750B1D">
        <w:t>Построение внешних областей зон двойного молниеотвода (</w:t>
      </w:r>
      <w:proofErr w:type="spellStart"/>
      <w:r w:rsidRPr="00750B1D">
        <w:t>полуконусов</w:t>
      </w:r>
      <w:proofErr w:type="spellEnd"/>
      <w:r w:rsidRPr="00750B1D">
        <w:t xml:space="preserve"> с габаритами </w:t>
      </w:r>
      <w:r w:rsidRPr="00750B1D">
        <w:rPr>
          <w:i/>
          <w:iCs/>
        </w:rPr>
        <w:t>h</w:t>
      </w:r>
      <w:r w:rsidRPr="00750B1D">
        <w:rPr>
          <w:vertAlign w:val="subscript"/>
        </w:rPr>
        <w:t>0</w:t>
      </w:r>
      <w:r w:rsidRPr="00750B1D">
        <w:t xml:space="preserve">, </w:t>
      </w:r>
      <w:r w:rsidRPr="00750B1D">
        <w:rPr>
          <w:i/>
          <w:iCs/>
        </w:rPr>
        <w:t>r</w:t>
      </w:r>
      <w:r w:rsidRPr="00750B1D">
        <w:rPr>
          <w:vertAlign w:val="subscript"/>
        </w:rPr>
        <w:t>0</w:t>
      </w:r>
      <w:r w:rsidRPr="00750B1D">
        <w:t xml:space="preserve">) производится по формулам для одиночных стержневых молниеотводов. Размеры внутренних областей определяются параметрами </w:t>
      </w:r>
      <w:r w:rsidRPr="00750B1D">
        <w:rPr>
          <w:i/>
          <w:iCs/>
        </w:rPr>
        <w:t>h</w:t>
      </w:r>
      <w:r w:rsidRPr="00750B1D">
        <w:rPr>
          <w:iCs/>
          <w:vertAlign w:val="subscript"/>
        </w:rPr>
        <w:t>0</w:t>
      </w:r>
      <w:r w:rsidRPr="00750B1D">
        <w:rPr>
          <w:iCs/>
        </w:rPr>
        <w:t xml:space="preserve"> </w:t>
      </w:r>
      <w:r w:rsidRPr="00750B1D">
        <w:t xml:space="preserve">и </w:t>
      </w:r>
      <w:proofErr w:type="spellStart"/>
      <w:r w:rsidRPr="00750B1D">
        <w:rPr>
          <w:i/>
          <w:iCs/>
        </w:rPr>
        <w:t>h</w:t>
      </w:r>
      <w:r w:rsidRPr="00750B1D">
        <w:rPr>
          <w:vertAlign w:val="subscript"/>
        </w:rPr>
        <w:t>c</w:t>
      </w:r>
      <w:proofErr w:type="spellEnd"/>
      <w:r w:rsidRPr="00750B1D">
        <w:t xml:space="preserve">, первый из которых задает максимальную высоту зоны непосредственно у молниеотводов, а второй - минимальную высоту зоны посередине между молниеотводами. При расстоянии между молниеотводами </w:t>
      </w:r>
      <w:proofErr w:type="gramStart"/>
      <w:r w:rsidRPr="00750B1D">
        <w:rPr>
          <w:i/>
          <w:iCs/>
        </w:rPr>
        <w:t>L</w:t>
      </w:r>
      <w:r w:rsidRPr="00750B1D">
        <w:t xml:space="preserve"> </w:t>
      </w:r>
      <w:r w:rsidRPr="00750B1D">
        <w:sym w:font="Symbol" w:char="F0A3"/>
      </w:r>
      <w:r w:rsidRPr="00750B1D">
        <w:t xml:space="preserve"> </w:t>
      </w:r>
      <w:proofErr w:type="spellStart"/>
      <w:r w:rsidRPr="00750B1D">
        <w:rPr>
          <w:i/>
        </w:rPr>
        <w:t>L</w:t>
      </w:r>
      <w:r w:rsidRPr="00750B1D">
        <w:rPr>
          <w:iCs/>
          <w:vertAlign w:val="subscript"/>
        </w:rPr>
        <w:t>c</w:t>
      </w:r>
      <w:proofErr w:type="spellEnd"/>
      <w:proofErr w:type="gramEnd"/>
      <w:r w:rsidRPr="00750B1D">
        <w:rPr>
          <w:iCs/>
        </w:rPr>
        <w:t xml:space="preserve"> </w:t>
      </w:r>
      <w:r w:rsidRPr="00750B1D">
        <w:t>граница зоны не имеет провеса (</w:t>
      </w:r>
      <w:proofErr w:type="spellStart"/>
      <w:r w:rsidRPr="00750B1D">
        <w:rPr>
          <w:i/>
          <w:iCs/>
        </w:rPr>
        <w:t>h</w:t>
      </w:r>
      <w:r w:rsidRPr="00750B1D">
        <w:rPr>
          <w:vertAlign w:val="subscript"/>
        </w:rPr>
        <w:t>c</w:t>
      </w:r>
      <w:proofErr w:type="spellEnd"/>
      <w:r w:rsidRPr="00750B1D">
        <w:t xml:space="preserve"> = </w:t>
      </w:r>
      <w:r w:rsidRPr="00750B1D">
        <w:rPr>
          <w:i/>
          <w:iCs/>
        </w:rPr>
        <w:t>h</w:t>
      </w:r>
      <w:r w:rsidRPr="00750B1D">
        <w:rPr>
          <w:vertAlign w:val="subscript"/>
        </w:rPr>
        <w:t>0</w:t>
      </w:r>
      <w:r w:rsidRPr="00750B1D">
        <w:t xml:space="preserve">). Для расстояний </w:t>
      </w:r>
      <w:proofErr w:type="spellStart"/>
      <w:proofErr w:type="gramStart"/>
      <w:r w:rsidRPr="00750B1D">
        <w:rPr>
          <w:i/>
        </w:rPr>
        <w:t>L</w:t>
      </w:r>
      <w:r w:rsidRPr="00750B1D">
        <w:rPr>
          <w:iCs/>
          <w:vertAlign w:val="subscript"/>
        </w:rPr>
        <w:t>c</w:t>
      </w:r>
      <w:proofErr w:type="spellEnd"/>
      <w:r w:rsidRPr="00750B1D">
        <w:rPr>
          <w:iCs/>
        </w:rPr>
        <w:t xml:space="preserve"> </w:t>
      </w:r>
      <w:r w:rsidRPr="00750B1D">
        <w:rPr>
          <w:iCs/>
        </w:rPr>
        <w:sym w:font="Symbol" w:char="F0A3"/>
      </w:r>
      <w:r w:rsidRPr="00750B1D">
        <w:rPr>
          <w:iCs/>
        </w:rPr>
        <w:t xml:space="preserve"> </w:t>
      </w:r>
      <w:r w:rsidRPr="00750B1D">
        <w:rPr>
          <w:i/>
        </w:rPr>
        <w:t>L</w:t>
      </w:r>
      <w:proofErr w:type="gramEnd"/>
      <w:r w:rsidRPr="00750B1D">
        <w:rPr>
          <w:iCs/>
        </w:rPr>
        <w:t xml:space="preserve"> ≤ </w:t>
      </w:r>
      <w:proofErr w:type="spellStart"/>
      <w:r w:rsidRPr="00750B1D">
        <w:rPr>
          <w:i/>
          <w:iCs/>
        </w:rPr>
        <w:t>L</w:t>
      </w:r>
      <w:r w:rsidRPr="00750B1D">
        <w:rPr>
          <w:vertAlign w:val="subscript"/>
        </w:rPr>
        <w:t>max</w:t>
      </w:r>
      <w:proofErr w:type="spellEnd"/>
      <w:r w:rsidRPr="00750B1D">
        <w:t xml:space="preserve"> высота </w:t>
      </w:r>
      <w:proofErr w:type="spellStart"/>
      <w:r w:rsidRPr="00750B1D">
        <w:rPr>
          <w:i/>
          <w:iCs/>
        </w:rPr>
        <w:t>h</w:t>
      </w:r>
      <w:r w:rsidRPr="00750B1D">
        <w:rPr>
          <w:vertAlign w:val="subscript"/>
        </w:rPr>
        <w:t>c</w:t>
      </w:r>
      <w:proofErr w:type="spellEnd"/>
      <w:r w:rsidRPr="00750B1D">
        <w:rPr>
          <w:vertAlign w:val="subscript"/>
        </w:rPr>
        <w:t xml:space="preserve"> </w:t>
      </w:r>
      <w:r w:rsidRPr="00750B1D">
        <w:t>определяется по выражению</w:t>
      </w:r>
    </w:p>
    <w:p w:rsidR="00750B1D" w:rsidRPr="00750B1D" w:rsidRDefault="00750B1D" w:rsidP="00750B1D">
      <w:pPr>
        <w:spacing w:after="0" w:line="276" w:lineRule="auto"/>
        <w:jc w:val="center"/>
      </w:pPr>
      <w:r w:rsidRPr="00750B1D">
        <w:object w:dxaOrig="1480" w:dyaOrig="580">
          <v:shape id="_x0000_i1027" type="#_x0000_t75" style="width:89.2pt;height:35.45pt" o:ole="">
            <v:imagedata r:id="rId15" o:title=""/>
          </v:shape>
          <o:OLEObject Type="Embed" ProgID="Equation.DSMT4" ShapeID="_x0000_i1027" DrawAspect="Content" ObjectID="_1753118948" r:id="rId16"/>
        </w:object>
      </w:r>
    </w:p>
    <w:p w:rsidR="00750B1D" w:rsidRDefault="00750B1D" w:rsidP="00750B1D">
      <w:pPr>
        <w:spacing w:after="0" w:line="276" w:lineRule="auto"/>
        <w:ind w:firstLine="567"/>
        <w:jc w:val="both"/>
      </w:pPr>
      <w:r w:rsidRPr="00750B1D">
        <w:t xml:space="preserve">Входящие в него предельные расстояния </w:t>
      </w:r>
      <w:proofErr w:type="spellStart"/>
      <w:r w:rsidRPr="00750B1D">
        <w:rPr>
          <w:i/>
        </w:rPr>
        <w:t>L</w:t>
      </w:r>
      <w:r w:rsidRPr="00750B1D">
        <w:rPr>
          <w:iCs/>
          <w:vertAlign w:val="subscript"/>
        </w:rPr>
        <w:t>max</w:t>
      </w:r>
      <w:proofErr w:type="spellEnd"/>
      <w:r w:rsidRPr="00750B1D">
        <w:rPr>
          <w:iCs/>
        </w:rPr>
        <w:t xml:space="preserve"> </w:t>
      </w:r>
      <w:r w:rsidRPr="00750B1D">
        <w:t xml:space="preserve">и </w:t>
      </w:r>
      <w:proofErr w:type="spellStart"/>
      <w:r w:rsidRPr="00750B1D">
        <w:rPr>
          <w:i/>
        </w:rPr>
        <w:t>L</w:t>
      </w:r>
      <w:r w:rsidRPr="00750B1D">
        <w:rPr>
          <w:iCs/>
          <w:vertAlign w:val="subscript"/>
        </w:rPr>
        <w:t>c</w:t>
      </w:r>
      <w:proofErr w:type="spellEnd"/>
      <w:r w:rsidRPr="00750B1D">
        <w:rPr>
          <w:iCs/>
        </w:rPr>
        <w:t xml:space="preserve"> </w:t>
      </w:r>
      <w:r w:rsidRPr="00750B1D">
        <w:t>вычисляются по эмпирическим формулам.</w:t>
      </w:r>
    </w:p>
    <w:p w:rsidR="008D2A0D" w:rsidRPr="00750B1D" w:rsidRDefault="008D2A0D" w:rsidP="008D2A0D">
      <w:pPr>
        <w:spacing w:after="0" w:line="276" w:lineRule="auto"/>
        <w:jc w:val="right"/>
      </w:pPr>
      <w:r>
        <w:rPr>
          <w:iCs/>
        </w:rPr>
        <w:t>Таблица 6</w:t>
      </w:r>
      <w:r w:rsidRPr="008D2A0D">
        <w:rPr>
          <w:iCs/>
        </w:rPr>
        <w:t>.</w:t>
      </w:r>
    </w:p>
    <w:p w:rsidR="008D2A0D" w:rsidRPr="008D2A0D" w:rsidRDefault="008D2A0D" w:rsidP="008D2A0D">
      <w:pPr>
        <w:shd w:val="clear" w:color="auto" w:fill="FFFFFF"/>
        <w:spacing w:after="0"/>
        <w:ind w:firstLine="284"/>
        <w:jc w:val="center"/>
        <w:rPr>
          <w:rFonts w:cs="Times New Roman"/>
          <w:color w:val="000000"/>
          <w:szCs w:val="28"/>
        </w:rPr>
      </w:pPr>
      <w:r w:rsidRPr="008D2A0D">
        <w:rPr>
          <w:rFonts w:cs="Times New Roman"/>
          <w:color w:val="000000"/>
          <w:szCs w:val="28"/>
        </w:rPr>
        <w:t>Расчет параметров зоны защиты двойного стержневого молниеотвода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5"/>
        <w:gridCol w:w="2309"/>
        <w:gridCol w:w="3366"/>
        <w:gridCol w:w="2628"/>
      </w:tblGrid>
      <w:tr w:rsidR="008D2A0D" w:rsidRPr="0078386E" w:rsidTr="006B543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 xml:space="preserve">Надежность защиты </w:t>
            </w:r>
            <w:proofErr w:type="spellStart"/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з</w:t>
            </w:r>
            <w:proofErr w:type="spellEnd"/>
          </w:p>
        </w:tc>
        <w:tc>
          <w:tcPr>
            <w:tcW w:w="2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 xml:space="preserve">Высота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 xml:space="preserve">молниеотвода </w:t>
            </w:r>
            <w:r w:rsidRPr="008D2A0D">
              <w:rPr>
                <w:rFonts w:cs="Times New Roman"/>
                <w:i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L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max</w:t>
            </w:r>
            <w:proofErr w:type="spellEnd"/>
            <w:r w:rsidRPr="008D2A0D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D2A0D">
              <w:rPr>
                <w:rFonts w:cs="Times New Roman"/>
                <w:i/>
                <w:color w:val="000000"/>
                <w:sz w:val="24"/>
                <w:szCs w:val="24"/>
              </w:rPr>
              <w:t>L</w:t>
            </w:r>
            <w:r w:rsidRPr="008D2A0D">
              <w:rPr>
                <w:rFonts w:cs="Times New Roman"/>
                <w:iCs/>
                <w:color w:val="000000"/>
                <w:sz w:val="24"/>
                <w:szCs w:val="24"/>
                <w:vertAlign w:val="subscript"/>
              </w:rPr>
              <w:t>с</w:t>
            </w:r>
            <w:proofErr w:type="spellEnd"/>
            <w:r w:rsidRPr="008D2A0D">
              <w:rPr>
                <w:rFonts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0 до 30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5,75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30 до 100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[5,75-3,57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sym w:font="Symbol" w:char="F0D7"/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-3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-30)]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100 до 150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iCs/>
                <w:color w:val="000000"/>
                <w:sz w:val="24"/>
                <w:szCs w:val="24"/>
              </w:rPr>
              <w:t>5,5</w:t>
            </w:r>
            <w:r w:rsidRPr="008D2A0D">
              <w:rPr>
                <w:rFonts w:cs="Times New Roman"/>
                <w:i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0 до 30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4,75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2,25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30 до 100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[4,75-3,57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sym w:font="Symbol" w:char="F0D7"/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-3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-30)]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[2,25-0,01007 (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-30)]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100 до 150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4,5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1,5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</w:tbl>
    <w:p w:rsidR="00750B1D" w:rsidRDefault="00750B1D" w:rsidP="00B34E3B">
      <w:pPr>
        <w:spacing w:after="0" w:line="276" w:lineRule="auto"/>
        <w:jc w:val="both"/>
      </w:pP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>Размеры горизонтальных сечений зоны вычисляются по следующим формулам, общим для всех уровней надежности защиты:</w: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- максимальная полуширина зоны </w:t>
      </w:r>
      <w:proofErr w:type="spellStart"/>
      <w:r w:rsidRPr="0078386E">
        <w:rPr>
          <w:rFonts w:cs="Times New Roman"/>
          <w:i/>
          <w:iCs/>
          <w:color w:val="000000"/>
          <w:szCs w:val="28"/>
        </w:rPr>
        <w:t>r</w:t>
      </w:r>
      <w:r w:rsidRPr="0078386E">
        <w:rPr>
          <w:rFonts w:cs="Times New Roman"/>
          <w:i/>
          <w:iCs/>
          <w:color w:val="000000"/>
          <w:szCs w:val="28"/>
          <w:vertAlign w:val="subscript"/>
        </w:rPr>
        <w:t>х</w:t>
      </w:r>
      <w:proofErr w:type="spellEnd"/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в горизонтальном сечении на высоте </w:t>
      </w:r>
      <w:proofErr w:type="spellStart"/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/>
          <w:color w:val="000000"/>
          <w:szCs w:val="28"/>
          <w:vertAlign w:val="subscript"/>
        </w:rPr>
        <w:t>x</w:t>
      </w:r>
      <w:proofErr w:type="spellEnd"/>
      <w:r w:rsidRPr="0078386E">
        <w:rPr>
          <w:rFonts w:cs="Times New Roman"/>
          <w:iCs/>
          <w:color w:val="000000"/>
          <w:szCs w:val="28"/>
        </w:rPr>
        <w:t xml:space="preserve">: </w: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center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position w:val="-26"/>
          <w:szCs w:val="28"/>
        </w:rPr>
        <w:object w:dxaOrig="1359" w:dyaOrig="580">
          <v:shape id="_x0000_i1028" type="#_x0000_t75" style="width:79pt;height:33.85pt" o:ole="">
            <v:imagedata r:id="rId17" o:title=""/>
          </v:shape>
          <o:OLEObject Type="Embed" ProgID="Equation.DSMT4" ShapeID="_x0000_i1028" DrawAspect="Content" ObjectID="_1753118949" r:id="rId18"/>
        </w:objec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- ширина горизонтального сечения в центре между молниеотводами </w:t>
      </w:r>
      <w:r w:rsidRPr="0078386E">
        <w:rPr>
          <w:rFonts w:cs="Times New Roman"/>
          <w:iCs/>
          <w:color w:val="000000"/>
          <w:szCs w:val="28"/>
        </w:rPr>
        <w:t>2</w:t>
      </w:r>
      <w:r w:rsidRPr="0078386E">
        <w:rPr>
          <w:rFonts w:cs="Times New Roman"/>
          <w:i/>
          <w:color w:val="000000"/>
          <w:szCs w:val="28"/>
        </w:rPr>
        <w:t>r</w:t>
      </w:r>
      <w:r w:rsidRPr="0078386E">
        <w:rPr>
          <w:rFonts w:cs="Times New Roman"/>
          <w:iCs/>
          <w:color w:val="000000"/>
          <w:szCs w:val="28"/>
          <w:vertAlign w:val="subscript"/>
        </w:rPr>
        <w:t>cx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на высоте </w:t>
      </w:r>
      <w:proofErr w:type="spellStart"/>
      <w:proofErr w:type="gramStart"/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/>
          <w:color w:val="000000"/>
          <w:szCs w:val="28"/>
          <w:vertAlign w:val="subscript"/>
        </w:rPr>
        <w:t>x</w:t>
      </w:r>
      <w:proofErr w:type="spellEnd"/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A3"/>
      </w:r>
      <w:r w:rsidRPr="0078386E">
        <w:rPr>
          <w:rFonts w:cs="Times New Roman"/>
          <w:iCs/>
          <w:color w:val="000000"/>
          <w:szCs w:val="28"/>
        </w:rPr>
        <w:t xml:space="preserve"> </w:t>
      </w:r>
      <w:proofErr w:type="spellStart"/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Cs/>
          <w:color w:val="000000"/>
          <w:szCs w:val="28"/>
          <w:vertAlign w:val="subscript"/>
        </w:rPr>
        <w:t>c</w:t>
      </w:r>
      <w:proofErr w:type="spellEnd"/>
      <w:proofErr w:type="gramEnd"/>
      <w:r w:rsidRPr="0078386E">
        <w:rPr>
          <w:rFonts w:cs="Times New Roman"/>
          <w:iCs/>
          <w:color w:val="000000"/>
          <w:szCs w:val="28"/>
        </w:rPr>
        <w:t xml:space="preserve">: </w: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center"/>
        <w:rPr>
          <w:rFonts w:cs="Times New Roman"/>
          <w:color w:val="000000"/>
          <w:position w:val="-26"/>
          <w:szCs w:val="28"/>
        </w:rPr>
      </w:pPr>
      <w:r w:rsidRPr="0078386E">
        <w:rPr>
          <w:rFonts w:cs="Times New Roman"/>
          <w:color w:val="000000"/>
          <w:position w:val="-26"/>
          <w:szCs w:val="28"/>
        </w:rPr>
        <w:object w:dxaOrig="1420" w:dyaOrig="580">
          <v:shape id="_x0000_i1029" type="#_x0000_t75" style="width:92.95pt;height:38.15pt" o:ole="">
            <v:imagedata r:id="rId19" o:title=""/>
          </v:shape>
          <o:OLEObject Type="Embed" ProgID="Equation.DSMT4" ShapeID="_x0000_i1029" DrawAspect="Content" ObjectID="_1753118950" r:id="rId20"/>
        </w:objec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center"/>
        <w:rPr>
          <w:rFonts w:cs="Times New Roman"/>
          <w:color w:val="000000"/>
          <w:position w:val="-26"/>
        </w:rPr>
      </w:pPr>
    </w:p>
    <w:p w:rsidR="00F777AE" w:rsidRDefault="00F777AE" w:rsidP="00F777AE">
      <w:pPr>
        <w:spacing w:after="0" w:line="276" w:lineRule="auto"/>
        <w:jc w:val="both"/>
        <w:rPr>
          <w:b/>
        </w:rPr>
      </w:pPr>
    </w:p>
    <w:p w:rsidR="00F777AE" w:rsidRPr="00F777AE" w:rsidRDefault="00F777AE" w:rsidP="00F777AE">
      <w:pPr>
        <w:spacing w:after="0" w:line="276" w:lineRule="auto"/>
        <w:jc w:val="center"/>
        <w:rPr>
          <w:b/>
        </w:rPr>
      </w:pPr>
      <w:r w:rsidRPr="00F777AE">
        <w:rPr>
          <w:b/>
        </w:rPr>
        <w:lastRenderedPageBreak/>
        <w:t>ЛИТЕРАТУРА</w:t>
      </w:r>
    </w:p>
    <w:p w:rsidR="00F777AE" w:rsidRPr="00F777AE" w:rsidRDefault="00F777AE" w:rsidP="00F777AE">
      <w:pPr>
        <w:spacing w:after="0" w:line="276" w:lineRule="auto"/>
        <w:jc w:val="both"/>
        <w:rPr>
          <w:b/>
        </w:rPr>
      </w:pP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Александров Г.Н. Ограничение перенапряжений в электрических сетях: учебное пособие/ Г.Н. Александров Издание центра подготовки кадров, 2003.</w:t>
      </w:r>
      <w:r>
        <w:t xml:space="preserve"> </w:t>
      </w:r>
      <w:r w:rsidRPr="00F777AE">
        <w:t>-192 с.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proofErr w:type="spellStart"/>
      <w:r w:rsidRPr="00F777AE">
        <w:t>Кабышев</w:t>
      </w:r>
      <w:proofErr w:type="spellEnd"/>
      <w:r w:rsidRPr="00F777AE">
        <w:t xml:space="preserve"> А.В. Молниезащита электроустановок систем электроснабжения: учебное пособие/ А.В. </w:t>
      </w:r>
      <w:proofErr w:type="spellStart"/>
      <w:r w:rsidRPr="00F777AE">
        <w:t>Кабышев</w:t>
      </w:r>
      <w:proofErr w:type="spellEnd"/>
      <w:r w:rsidRPr="00F777AE">
        <w:t>. – Томск: Изд-во ТПУ-2006, -124 с.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proofErr w:type="spellStart"/>
      <w:r w:rsidRPr="00F777AE">
        <w:t>Важнов</w:t>
      </w:r>
      <w:proofErr w:type="spellEnd"/>
      <w:r w:rsidRPr="00F777AE">
        <w:t xml:space="preserve"> В.Ф. Высоковольтная техника в электроэнергетике: учебное пособие /В.Ф. </w:t>
      </w:r>
      <w:proofErr w:type="spellStart"/>
      <w:r w:rsidRPr="00F777AE">
        <w:t>Важнов</w:t>
      </w:r>
      <w:proofErr w:type="spellEnd"/>
      <w:r w:rsidRPr="00F777AE">
        <w:t xml:space="preserve">, В.А. </w:t>
      </w:r>
      <w:proofErr w:type="spellStart"/>
      <w:r w:rsidRPr="00F777AE">
        <w:t>Лавринович</w:t>
      </w:r>
      <w:proofErr w:type="spellEnd"/>
      <w:r w:rsidRPr="00F777AE">
        <w:t xml:space="preserve">; Томский политехнический университет. - Томск: Изд-во Томского политехнического университета, 2011. -176 с. 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Правила устройства электроустановок. Главы 1.1, 1.2, 1.7-1.9, 2.4, 2.5, 4.1, 4.2, 6.1-6.6, 7.1, 7.2, 7.5, 7.6, 7.10. – 7-е изд.-М.: Изд-во НЦ ЭНАС, 2006. – 552 с.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Инструкция по устройству молниезащиты зданий, сооружений и коммуникаций. – М.: Издательство МЭИ, 2004. - 57 с. (СО 153-34.21.122 – 2003)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Техника высоких напряжений / Под общ. ред. Д.В.</w:t>
      </w:r>
      <w:r w:rsidR="00F53B9E">
        <w:t xml:space="preserve"> </w:t>
      </w:r>
      <w:proofErr w:type="spellStart"/>
      <w:r w:rsidRPr="00F777AE">
        <w:t>Разевига</w:t>
      </w:r>
      <w:proofErr w:type="spellEnd"/>
      <w:r w:rsidRPr="00F777AE">
        <w:t xml:space="preserve">. Изд. 2-е, </w:t>
      </w:r>
      <w:proofErr w:type="spellStart"/>
      <w:r w:rsidRPr="00F777AE">
        <w:t>перераб</w:t>
      </w:r>
      <w:proofErr w:type="spellEnd"/>
      <w:proofErr w:type="gramStart"/>
      <w:r w:rsidRPr="00F777AE">
        <w:t>.</w:t>
      </w:r>
      <w:proofErr w:type="gramEnd"/>
      <w:r w:rsidRPr="00F777AE">
        <w:t xml:space="preserve"> и доп. М.: Энергия, 1976.</w:t>
      </w:r>
      <w:r>
        <w:t xml:space="preserve"> </w:t>
      </w:r>
      <w:r w:rsidRPr="00F777AE">
        <w:t>-488 с.</w:t>
      </w:r>
    </w:p>
    <w:p w:rsidR="008D2A0D" w:rsidRDefault="008D2A0D" w:rsidP="00B34E3B">
      <w:pPr>
        <w:spacing w:after="0" w:line="276" w:lineRule="auto"/>
        <w:jc w:val="both"/>
      </w:pPr>
    </w:p>
    <w:sectPr w:rsidR="008D2A0D" w:rsidSect="00367816">
      <w:footerReference w:type="default" r:id="rId2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B6" w:rsidRDefault="005E2EB6" w:rsidP="00F777AE">
      <w:pPr>
        <w:spacing w:after="0"/>
      </w:pPr>
      <w:r>
        <w:separator/>
      </w:r>
    </w:p>
  </w:endnote>
  <w:endnote w:type="continuationSeparator" w:id="0">
    <w:p w:rsidR="005E2EB6" w:rsidRDefault="005E2EB6" w:rsidP="00F777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5949259"/>
      <w:docPartObj>
        <w:docPartGallery w:val="Page Numbers (Bottom of Page)"/>
        <w:docPartUnique/>
      </w:docPartObj>
    </w:sdtPr>
    <w:sdtContent>
      <w:p w:rsidR="00F777AE" w:rsidRDefault="00F777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B9E">
          <w:rPr>
            <w:noProof/>
          </w:rPr>
          <w:t>10</w:t>
        </w:r>
        <w:r>
          <w:fldChar w:fldCharType="end"/>
        </w:r>
      </w:p>
    </w:sdtContent>
  </w:sdt>
  <w:p w:rsidR="00F777AE" w:rsidRDefault="00F777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B6" w:rsidRDefault="005E2EB6" w:rsidP="00F777AE">
      <w:pPr>
        <w:spacing w:after="0"/>
      </w:pPr>
      <w:r>
        <w:separator/>
      </w:r>
    </w:p>
  </w:footnote>
  <w:footnote w:type="continuationSeparator" w:id="0">
    <w:p w:rsidR="005E2EB6" w:rsidRDefault="005E2EB6" w:rsidP="00F777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058A9"/>
    <w:multiLevelType w:val="hybridMultilevel"/>
    <w:tmpl w:val="4D7021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D176A4A"/>
    <w:multiLevelType w:val="hybridMultilevel"/>
    <w:tmpl w:val="F0162730"/>
    <w:lvl w:ilvl="0" w:tplc="52422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FB"/>
    <w:rsid w:val="000075B4"/>
    <w:rsid w:val="000D1862"/>
    <w:rsid w:val="002110FB"/>
    <w:rsid w:val="00367816"/>
    <w:rsid w:val="005E2EB6"/>
    <w:rsid w:val="0063022E"/>
    <w:rsid w:val="006C0B77"/>
    <w:rsid w:val="00750B1D"/>
    <w:rsid w:val="008242FF"/>
    <w:rsid w:val="00865C55"/>
    <w:rsid w:val="00870751"/>
    <w:rsid w:val="008D2A0D"/>
    <w:rsid w:val="00922C48"/>
    <w:rsid w:val="009A1F9B"/>
    <w:rsid w:val="00B34E3B"/>
    <w:rsid w:val="00B915B7"/>
    <w:rsid w:val="00DC5E8E"/>
    <w:rsid w:val="00DF3AF9"/>
    <w:rsid w:val="00EA59DF"/>
    <w:rsid w:val="00EE4070"/>
    <w:rsid w:val="00F12C76"/>
    <w:rsid w:val="00F31859"/>
    <w:rsid w:val="00F53B9E"/>
    <w:rsid w:val="00F7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16FD7-E425-4E07-9D0D-71863837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0F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C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34E3B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paragraph" w:customStyle="1" w:styleId="a5">
    <w:name w:val="Начало Абз."/>
    <w:basedOn w:val="a"/>
    <w:rsid w:val="00B34E3B"/>
    <w:pPr>
      <w:overflowPunct w:val="0"/>
      <w:autoSpaceDE w:val="0"/>
      <w:autoSpaceDN w:val="0"/>
      <w:adjustRightInd w:val="0"/>
      <w:spacing w:after="200" w:line="276" w:lineRule="auto"/>
      <w:ind w:firstLine="709"/>
      <w:jc w:val="both"/>
      <w:textAlignment w:val="baseline"/>
    </w:pPr>
    <w:rPr>
      <w:rFonts w:asciiTheme="minorHAnsi" w:eastAsiaTheme="minorEastAsia" w:hAnsiTheme="minorHAnsi"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777AE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F777AE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F777AE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F777A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B8CBA-6CFD-41C7-A7E2-1514EE99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2023-08-08T19:56:00Z</dcterms:created>
  <dcterms:modified xsi:type="dcterms:W3CDTF">2023-08-09T17:42:00Z</dcterms:modified>
</cp:coreProperties>
</file>